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14:paraId="79FF0609" w14:textId="77777777" w:rsidTr="00562621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1B3461" w14:textId="77777777" w:rsidR="00446DE4" w:rsidRPr="00E806EE" w:rsidRDefault="00446DE4" w:rsidP="00562621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B534F1" w14:textId="77777777" w:rsidR="00446DE4" w:rsidRPr="00963CBA" w:rsidRDefault="00B3317B" w:rsidP="00562621">
            <w:pPr>
              <w:spacing w:after="80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BCFB3B" w14:textId="4E28724D" w:rsidR="00446DE4" w:rsidRPr="00DE3EC0" w:rsidRDefault="00106EBB" w:rsidP="00724C69">
            <w:pPr>
              <w:jc w:val="right"/>
            </w:pPr>
            <w:r w:rsidRPr="00106EBB">
              <w:rPr>
                <w:sz w:val="40"/>
              </w:rPr>
              <w:t>A</w:t>
            </w:r>
            <w:r>
              <w:t>/HRC/</w:t>
            </w:r>
            <w:r w:rsidR="000C7BC3">
              <w:t>50</w:t>
            </w:r>
            <w:r>
              <w:t>/L.</w:t>
            </w:r>
            <w:r w:rsidR="00BF6F6C">
              <w:t>23</w:t>
            </w:r>
          </w:p>
        </w:tc>
      </w:tr>
      <w:tr w:rsidR="003107FA" w14:paraId="6665A173" w14:textId="77777777" w:rsidTr="00562621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47976DFF" w14:textId="0D16DC37" w:rsidR="003107FA" w:rsidRDefault="00C67C07" w:rsidP="00562621">
            <w:pPr>
              <w:spacing w:before="12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D1F75A0" wp14:editId="6A7B090B">
                  <wp:extent cx="717550" cy="590550"/>
                  <wp:effectExtent l="0" t="0" r="0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1763AAAD" w14:textId="77777777" w:rsidR="003107FA" w:rsidRPr="00B3317B" w:rsidRDefault="00B3317B" w:rsidP="00562621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General Assembly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65977CEC" w14:textId="77777777" w:rsidR="003107FA" w:rsidRDefault="00E33201" w:rsidP="00106EBB">
            <w:pPr>
              <w:spacing w:before="240" w:line="240" w:lineRule="exact"/>
            </w:pPr>
            <w:r>
              <w:t>Distr.: Limited</w:t>
            </w:r>
          </w:p>
          <w:p w14:paraId="7FA04DE9" w14:textId="4DEADA69" w:rsidR="00106EBB" w:rsidRDefault="006E11B7" w:rsidP="00106EBB">
            <w:pPr>
              <w:spacing w:line="240" w:lineRule="exact"/>
            </w:pPr>
            <w:r>
              <w:t>4 July</w:t>
            </w:r>
            <w:r w:rsidR="00450ED2">
              <w:t xml:space="preserve"> 2022</w:t>
            </w:r>
          </w:p>
          <w:p w14:paraId="43D9DE3A" w14:textId="77777777" w:rsidR="00106EBB" w:rsidRDefault="00106EBB" w:rsidP="00106EBB">
            <w:pPr>
              <w:spacing w:line="240" w:lineRule="exact"/>
            </w:pPr>
          </w:p>
          <w:p w14:paraId="182F3735" w14:textId="77777777" w:rsidR="00106EBB" w:rsidRDefault="00106EBB" w:rsidP="00106EBB">
            <w:pPr>
              <w:spacing w:line="240" w:lineRule="exact"/>
            </w:pPr>
            <w:r>
              <w:t>Original: English</w:t>
            </w:r>
          </w:p>
        </w:tc>
      </w:tr>
    </w:tbl>
    <w:p w14:paraId="63EFB7A1" w14:textId="77777777" w:rsidR="00106EBB" w:rsidRPr="00106EBB" w:rsidRDefault="00106EBB" w:rsidP="00106EBB">
      <w:pPr>
        <w:spacing w:before="120"/>
        <w:rPr>
          <w:b/>
          <w:sz w:val="24"/>
          <w:szCs w:val="24"/>
        </w:rPr>
      </w:pPr>
      <w:r w:rsidRPr="00106EBB">
        <w:rPr>
          <w:b/>
          <w:sz w:val="24"/>
          <w:szCs w:val="24"/>
        </w:rPr>
        <w:t>Human Rights Council</w:t>
      </w:r>
    </w:p>
    <w:p w14:paraId="7E64892E" w14:textId="763A365E" w:rsidR="00106EBB" w:rsidRPr="00106EBB" w:rsidRDefault="000C7BC3" w:rsidP="00106EBB">
      <w:pPr>
        <w:rPr>
          <w:b/>
        </w:rPr>
      </w:pPr>
      <w:r>
        <w:rPr>
          <w:b/>
        </w:rPr>
        <w:t xml:space="preserve">Fiftieth </w:t>
      </w:r>
      <w:r w:rsidR="00106EBB" w:rsidRPr="00106EBB">
        <w:rPr>
          <w:b/>
        </w:rPr>
        <w:t>session</w:t>
      </w:r>
    </w:p>
    <w:p w14:paraId="71EFA6EA" w14:textId="5F4F4C37" w:rsidR="00106EBB" w:rsidRPr="00106EBB" w:rsidRDefault="000C7BC3" w:rsidP="00106EBB">
      <w:r>
        <w:t>13</w:t>
      </w:r>
      <w:r w:rsidR="00724C69">
        <w:t xml:space="preserve"> </w:t>
      </w:r>
      <w:r>
        <w:t>June</w:t>
      </w:r>
      <w:r w:rsidR="0085522F">
        <w:t>–</w:t>
      </w:r>
      <w:r>
        <w:t>8 July</w:t>
      </w:r>
      <w:r w:rsidR="00450ED2">
        <w:t xml:space="preserve"> 2022</w:t>
      </w:r>
    </w:p>
    <w:p w14:paraId="11E34CEE" w14:textId="77777777" w:rsidR="00106EBB" w:rsidRPr="00106EBB" w:rsidRDefault="00106EBB" w:rsidP="00106EBB">
      <w:r w:rsidRPr="00106EBB">
        <w:t>Agenda item 10</w:t>
      </w:r>
    </w:p>
    <w:p w14:paraId="580B0BEB" w14:textId="77777777" w:rsidR="00106EBB" w:rsidRPr="00106EBB" w:rsidRDefault="00106EBB" w:rsidP="00106EBB">
      <w:pPr>
        <w:rPr>
          <w:b/>
        </w:rPr>
      </w:pPr>
      <w:r w:rsidRPr="00106EBB">
        <w:rPr>
          <w:b/>
        </w:rPr>
        <w:t>Technical assistance and capacity-building</w:t>
      </w:r>
    </w:p>
    <w:p w14:paraId="3AD51ED2" w14:textId="6BFCD015" w:rsidR="00106EBB" w:rsidRPr="00106EBB" w:rsidRDefault="00106EBB" w:rsidP="00307657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jc w:val="both"/>
        <w:rPr>
          <w:b/>
        </w:rPr>
      </w:pPr>
      <w:r w:rsidRPr="00106EBB">
        <w:rPr>
          <w:b/>
        </w:rPr>
        <w:tab/>
      </w:r>
      <w:r w:rsidRPr="00106EBB">
        <w:rPr>
          <w:b/>
        </w:rPr>
        <w:tab/>
      </w:r>
      <w:r w:rsidR="00BF6F6C" w:rsidRPr="00BF6F6C">
        <w:rPr>
          <w:b/>
        </w:rPr>
        <w:t>Côte d</w:t>
      </w:r>
      <w:r w:rsidR="006E11B7">
        <w:rPr>
          <w:b/>
        </w:rPr>
        <w:t>’</w:t>
      </w:r>
      <w:r w:rsidR="00BF6F6C" w:rsidRPr="00BF6F6C">
        <w:rPr>
          <w:b/>
        </w:rPr>
        <w:t>Ivoire</w:t>
      </w:r>
      <w:r w:rsidR="009007CA" w:rsidRPr="009007CA">
        <w:rPr>
          <w:rStyle w:val="FootnoteReference"/>
          <w:b/>
          <w:sz w:val="20"/>
          <w:vertAlign w:val="baseline"/>
        </w:rPr>
        <w:footnoteReference w:customMarkFollows="1" w:id="2"/>
        <w:t>*</w:t>
      </w:r>
      <w:r w:rsidR="00BF6F6C" w:rsidRPr="00BF6F6C">
        <w:rPr>
          <w:b/>
        </w:rPr>
        <w:t>, Croatia,</w:t>
      </w:r>
      <w:r w:rsidR="009007CA" w:rsidRPr="009007CA">
        <w:rPr>
          <w:rStyle w:val="FootnoteReference"/>
          <w:b/>
          <w:sz w:val="20"/>
          <w:vertAlign w:val="baseline"/>
        </w:rPr>
        <w:footnoteReference w:customMarkFollows="1" w:id="3"/>
        <w:t>**</w:t>
      </w:r>
      <w:r w:rsidR="00BF6F6C" w:rsidRPr="00BF6F6C">
        <w:rPr>
          <w:b/>
        </w:rPr>
        <w:t xml:space="preserve"> Estonia,</w:t>
      </w:r>
      <w:r w:rsidR="009007CA">
        <w:rPr>
          <w:b/>
        </w:rPr>
        <w:t>*</w:t>
      </w:r>
      <w:r w:rsidR="00BF6F6C" w:rsidRPr="00BF6F6C">
        <w:rPr>
          <w:b/>
        </w:rPr>
        <w:t>* Finland, Germany, Iceland,*</w:t>
      </w:r>
      <w:r w:rsidR="009007CA">
        <w:rPr>
          <w:b/>
        </w:rPr>
        <w:t>*</w:t>
      </w:r>
      <w:r w:rsidR="00BF6F6C" w:rsidRPr="00BF6F6C">
        <w:rPr>
          <w:b/>
        </w:rPr>
        <w:t xml:space="preserve"> Malta,*</w:t>
      </w:r>
      <w:r w:rsidR="009007CA">
        <w:rPr>
          <w:b/>
        </w:rPr>
        <w:t>*</w:t>
      </w:r>
      <w:r w:rsidR="00BF6F6C" w:rsidRPr="00BF6F6C">
        <w:rPr>
          <w:b/>
        </w:rPr>
        <w:t xml:space="preserve"> Netherlands, Norway,*</w:t>
      </w:r>
      <w:r w:rsidR="009007CA">
        <w:rPr>
          <w:b/>
        </w:rPr>
        <w:t>*</w:t>
      </w:r>
      <w:r w:rsidR="00BF6F6C" w:rsidRPr="00BF6F6C">
        <w:rPr>
          <w:b/>
        </w:rPr>
        <w:t xml:space="preserve"> Qatar, </w:t>
      </w:r>
      <w:proofErr w:type="spellStart"/>
      <w:r w:rsidR="00BF6F6C" w:rsidRPr="00BF6F6C">
        <w:rPr>
          <w:b/>
        </w:rPr>
        <w:t>T</w:t>
      </w:r>
      <w:r w:rsidR="009007CA">
        <w:rPr>
          <w:b/>
        </w:rPr>
        <w:t>ü</w:t>
      </w:r>
      <w:r w:rsidR="00BF6F6C" w:rsidRPr="00BF6F6C">
        <w:rPr>
          <w:b/>
        </w:rPr>
        <w:t>rk</w:t>
      </w:r>
      <w:r w:rsidR="009007CA">
        <w:rPr>
          <w:b/>
        </w:rPr>
        <w:t>i</w:t>
      </w:r>
      <w:r w:rsidR="00BF6F6C" w:rsidRPr="00BF6F6C">
        <w:rPr>
          <w:b/>
        </w:rPr>
        <w:t>y</w:t>
      </w:r>
      <w:r w:rsidR="009007CA">
        <w:rPr>
          <w:b/>
        </w:rPr>
        <w:t>e</w:t>
      </w:r>
      <w:proofErr w:type="spellEnd"/>
      <w:r w:rsidR="00BF6F6C" w:rsidRPr="00BF6F6C">
        <w:rPr>
          <w:b/>
        </w:rPr>
        <w:t>,*</w:t>
      </w:r>
      <w:r w:rsidR="009007CA">
        <w:rPr>
          <w:b/>
        </w:rPr>
        <w:t>*</w:t>
      </w:r>
      <w:r w:rsidR="00BF6F6C" w:rsidRPr="00BF6F6C">
        <w:rPr>
          <w:b/>
        </w:rPr>
        <w:t xml:space="preserve"> United Kingdom of Great Britain and Northern Ireland, United States of America</w:t>
      </w:r>
      <w:r w:rsidR="009007CA">
        <w:rPr>
          <w:b/>
        </w:rPr>
        <w:t xml:space="preserve"> and</w:t>
      </w:r>
      <w:r w:rsidR="00BF6F6C" w:rsidRPr="00BF6F6C">
        <w:rPr>
          <w:b/>
        </w:rPr>
        <w:t xml:space="preserve"> Yemen*</w:t>
      </w:r>
      <w:r w:rsidR="009007CA">
        <w:rPr>
          <w:b/>
        </w:rPr>
        <w:t>*</w:t>
      </w:r>
      <w:r w:rsidRPr="00106EBB">
        <w:rPr>
          <w:b/>
        </w:rPr>
        <w:t>: draft resolution</w:t>
      </w:r>
    </w:p>
    <w:p w14:paraId="1D0C4013" w14:textId="517133E6" w:rsidR="00106EBB" w:rsidRPr="00106EBB" w:rsidRDefault="000C7BC3" w:rsidP="00106EBB">
      <w:pPr>
        <w:keepNext/>
        <w:keepLines/>
        <w:spacing w:before="360" w:after="240" w:line="270" w:lineRule="exact"/>
        <w:ind w:left="1843" w:right="1134" w:hanging="709"/>
        <w:rPr>
          <w:b/>
          <w:sz w:val="24"/>
        </w:rPr>
      </w:pPr>
      <w:r>
        <w:rPr>
          <w:b/>
          <w:sz w:val="24"/>
        </w:rPr>
        <w:t>50</w:t>
      </w:r>
      <w:r w:rsidR="00106EBB" w:rsidRPr="00106EBB">
        <w:rPr>
          <w:b/>
          <w:sz w:val="24"/>
        </w:rPr>
        <w:t>/…</w:t>
      </w:r>
      <w:r w:rsidR="00106EBB" w:rsidRPr="00106EBB">
        <w:rPr>
          <w:b/>
          <w:sz w:val="24"/>
        </w:rPr>
        <w:tab/>
      </w:r>
      <w:r w:rsidR="00BF6F6C" w:rsidRPr="00BF6F6C">
        <w:rPr>
          <w:b/>
          <w:sz w:val="24"/>
        </w:rPr>
        <w:t>Technical assistance and capacity-building to improve human rights in Libya</w:t>
      </w:r>
    </w:p>
    <w:p w14:paraId="7A02CDF3" w14:textId="67B83970" w:rsidR="00106EBB" w:rsidRPr="00106EBB" w:rsidRDefault="00BF6F6C" w:rsidP="00106EBB">
      <w:pPr>
        <w:spacing w:after="120"/>
        <w:ind w:left="1134" w:right="1134"/>
        <w:jc w:val="both"/>
      </w:pPr>
      <w:r>
        <w:tab/>
      </w:r>
      <w:r w:rsidR="00106EBB" w:rsidRPr="00106EBB">
        <w:tab/>
      </w:r>
      <w:r w:rsidR="00106EBB" w:rsidRPr="00106EBB">
        <w:rPr>
          <w:i/>
        </w:rPr>
        <w:t>The Human Rights Council</w:t>
      </w:r>
      <w:r w:rsidR="00106EBB" w:rsidRPr="00106EBB">
        <w:t>,</w:t>
      </w:r>
    </w:p>
    <w:p w14:paraId="665ED7CC" w14:textId="77777777" w:rsidR="00BF6F6C" w:rsidRPr="00BF6F6C" w:rsidRDefault="00BF6F6C" w:rsidP="00BF6F6C">
      <w:pPr>
        <w:pStyle w:val="SingleTxtG"/>
        <w:ind w:firstLine="567"/>
      </w:pPr>
      <w:r w:rsidRPr="00BF6F6C">
        <w:rPr>
          <w:i/>
          <w:iCs/>
        </w:rPr>
        <w:t>Guided</w:t>
      </w:r>
      <w:r w:rsidRPr="00BF6F6C">
        <w:t xml:space="preserve"> by the purposes and principles of the Charter of the United Nations,</w:t>
      </w:r>
    </w:p>
    <w:p w14:paraId="10520CFB" w14:textId="77777777" w:rsidR="00661009" w:rsidRDefault="00BF6F6C" w:rsidP="00BF6F6C">
      <w:pPr>
        <w:pStyle w:val="SingleTxtG"/>
        <w:ind w:firstLine="567"/>
      </w:pPr>
      <w:r w:rsidRPr="00BF6F6C">
        <w:rPr>
          <w:i/>
          <w:iCs/>
        </w:rPr>
        <w:t>Reaffirming</w:t>
      </w:r>
      <w:r w:rsidRPr="00BF6F6C">
        <w:t xml:space="preserve"> the Universal Declaration of Human Rights and relevant international human rights treaties, </w:t>
      </w:r>
    </w:p>
    <w:p w14:paraId="5F8994CF" w14:textId="367A63C3" w:rsidR="00BF6F6C" w:rsidRPr="00BF6F6C" w:rsidRDefault="00BF6F6C" w:rsidP="00BF6F6C">
      <w:pPr>
        <w:pStyle w:val="SingleTxtG"/>
        <w:ind w:firstLine="567"/>
      </w:pPr>
      <w:r w:rsidRPr="00661009">
        <w:rPr>
          <w:i/>
          <w:iCs/>
        </w:rPr>
        <w:t>Confirming</w:t>
      </w:r>
      <w:r w:rsidRPr="00BF6F6C">
        <w:t xml:space="preserve"> the primary responsibility of States to promote and protect human rights,</w:t>
      </w:r>
    </w:p>
    <w:p w14:paraId="3C1EB206" w14:textId="5CC7AC8A" w:rsidR="00BF6F6C" w:rsidRPr="00BF6F6C" w:rsidRDefault="00BF6F6C" w:rsidP="00BF6F6C">
      <w:pPr>
        <w:pStyle w:val="SingleTxtG"/>
        <w:ind w:firstLine="567"/>
      </w:pPr>
      <w:r w:rsidRPr="00BF6F6C">
        <w:rPr>
          <w:i/>
          <w:iCs/>
        </w:rPr>
        <w:t>Reaffirming</w:t>
      </w:r>
      <w:r w:rsidRPr="00BF6F6C">
        <w:t xml:space="preserve"> its strong commitment to the sovereignty, independence, unity and territorial integrity of Libya,</w:t>
      </w:r>
    </w:p>
    <w:p w14:paraId="00A06E72" w14:textId="580D0EE4" w:rsidR="00BF6F6C" w:rsidRPr="00BF6F6C" w:rsidRDefault="00BF6F6C" w:rsidP="00BF6F6C">
      <w:pPr>
        <w:pStyle w:val="SingleTxtG"/>
        <w:ind w:firstLine="567"/>
      </w:pPr>
      <w:r w:rsidRPr="00BF6F6C">
        <w:rPr>
          <w:bCs/>
          <w:i/>
        </w:rPr>
        <w:t>Reaffirming</w:t>
      </w:r>
      <w:r w:rsidR="00F976E5">
        <w:rPr>
          <w:bCs/>
          <w:i/>
        </w:rPr>
        <w:t xml:space="preserve"> also</w:t>
      </w:r>
      <w:r w:rsidRPr="00BF6F6C">
        <w:t xml:space="preserve"> its previous resolutions on Libya, </w:t>
      </w:r>
      <w:r w:rsidR="006E11B7">
        <w:t>in particular Human Rights Council</w:t>
      </w:r>
      <w:r w:rsidR="006E11B7" w:rsidRPr="00BF6F6C">
        <w:t xml:space="preserve"> </w:t>
      </w:r>
      <w:r w:rsidRPr="00BF6F6C">
        <w:t>resolution</w:t>
      </w:r>
      <w:r w:rsidR="006E11B7">
        <w:t>s</w:t>
      </w:r>
      <w:r w:rsidRPr="00BF6F6C">
        <w:t xml:space="preserve"> 4</w:t>
      </w:r>
      <w:r w:rsidR="00B017B8">
        <w:t>3</w:t>
      </w:r>
      <w:r w:rsidRPr="00BF6F6C">
        <w:t xml:space="preserve">/39 of 22 June 2020 </w:t>
      </w:r>
      <w:r w:rsidRPr="00BF6F6C">
        <w:rPr>
          <w:bCs/>
          <w:iCs/>
        </w:rPr>
        <w:t xml:space="preserve">and </w:t>
      </w:r>
      <w:r w:rsidRPr="00BF6F6C">
        <w:t>48/25 of 1</w:t>
      </w:r>
      <w:r w:rsidR="001C7FAD">
        <w:t>1</w:t>
      </w:r>
      <w:r w:rsidRPr="00BF6F6C">
        <w:t xml:space="preserve"> October 2021</w:t>
      </w:r>
      <w:r>
        <w:t>,</w:t>
      </w:r>
    </w:p>
    <w:p w14:paraId="25B9ABDC" w14:textId="7CB94869" w:rsidR="00BF6F6C" w:rsidRPr="00BF6F6C" w:rsidRDefault="00BF6F6C" w:rsidP="00BF6F6C">
      <w:pPr>
        <w:pStyle w:val="SingleTxtG"/>
        <w:ind w:firstLine="567"/>
      </w:pPr>
      <w:r w:rsidRPr="00BF6F6C">
        <w:rPr>
          <w:i/>
        </w:rPr>
        <w:t xml:space="preserve">Commending </w:t>
      </w:r>
      <w:r w:rsidRPr="00BF6F6C">
        <w:t xml:space="preserve">the continued positive cooperation and constructive engagement of the Libyan </w:t>
      </w:r>
      <w:r w:rsidR="00CE7821">
        <w:t>a</w:t>
      </w:r>
      <w:r w:rsidRPr="00BF6F6C">
        <w:t xml:space="preserve">uthorities with the </w:t>
      </w:r>
      <w:r w:rsidR="008D0E1D">
        <w:t>f</w:t>
      </w:r>
      <w:r w:rsidRPr="00BF6F6C">
        <w:t>act</w:t>
      </w:r>
      <w:r w:rsidR="008D0E1D">
        <w:t>-f</w:t>
      </w:r>
      <w:r w:rsidRPr="00BF6F6C">
        <w:t xml:space="preserve">inding </w:t>
      </w:r>
      <w:r w:rsidR="008D0E1D">
        <w:t>m</w:t>
      </w:r>
      <w:r w:rsidRPr="00BF6F6C">
        <w:t xml:space="preserve">ission, </w:t>
      </w:r>
      <w:r w:rsidR="00CE7821">
        <w:t>which</w:t>
      </w:r>
      <w:r w:rsidR="00CE7821" w:rsidRPr="00BF6F6C">
        <w:t xml:space="preserve"> </w:t>
      </w:r>
      <w:r w:rsidR="00C61A98">
        <w:t>allowed</w:t>
      </w:r>
      <w:r w:rsidR="00C61A98" w:rsidRPr="00BF6F6C">
        <w:t xml:space="preserve"> </w:t>
      </w:r>
      <w:r w:rsidR="00C61A98">
        <w:t>the mission</w:t>
      </w:r>
      <w:r w:rsidR="00C61A98" w:rsidRPr="00BF6F6C">
        <w:t xml:space="preserve"> </w:t>
      </w:r>
      <w:r w:rsidRPr="00BF6F6C">
        <w:t xml:space="preserve">to </w:t>
      </w:r>
      <w:r w:rsidR="005B16A9">
        <w:t>carry out</w:t>
      </w:r>
      <w:r w:rsidR="00C61A98" w:rsidRPr="00BF6F6C">
        <w:t xml:space="preserve"> </w:t>
      </w:r>
      <w:r w:rsidRPr="00BF6F6C">
        <w:t>its mandate in a comprehensive and impartial manner, notably by facilitating recent missions and sharing information about their own investigative and prosecution efforts,</w:t>
      </w:r>
    </w:p>
    <w:p w14:paraId="5F02E359" w14:textId="430D84A3" w:rsidR="00BF6F6C" w:rsidRPr="00BF6F6C" w:rsidRDefault="00BF6F6C" w:rsidP="00BF6F6C">
      <w:pPr>
        <w:pStyle w:val="SingleTxtG"/>
        <w:ind w:firstLine="567"/>
      </w:pPr>
      <w:r w:rsidRPr="00BF6F6C">
        <w:rPr>
          <w:i/>
          <w:iCs/>
        </w:rPr>
        <w:t>Commending</w:t>
      </w:r>
      <w:r w:rsidR="001C61CA">
        <w:rPr>
          <w:i/>
          <w:iCs/>
        </w:rPr>
        <w:t xml:space="preserve"> also</w:t>
      </w:r>
      <w:r w:rsidRPr="00BF6F6C">
        <w:t xml:space="preserve"> the </w:t>
      </w:r>
      <w:r w:rsidR="005B16A9">
        <w:t>G</w:t>
      </w:r>
      <w:r w:rsidRPr="00BF6F6C">
        <w:t xml:space="preserve">overnment </w:t>
      </w:r>
      <w:r w:rsidR="005B16A9">
        <w:t xml:space="preserve">of Tunisia </w:t>
      </w:r>
      <w:r w:rsidRPr="00BF6F6C">
        <w:t xml:space="preserve">for hosting and facilitating the work of the </w:t>
      </w:r>
      <w:r w:rsidR="005B16A9">
        <w:t>f</w:t>
      </w:r>
      <w:r w:rsidRPr="00BF6F6C">
        <w:t>act</w:t>
      </w:r>
      <w:r w:rsidR="005B16A9">
        <w:t>-f</w:t>
      </w:r>
      <w:r w:rsidRPr="00BF6F6C">
        <w:t xml:space="preserve">inding </w:t>
      </w:r>
      <w:r w:rsidR="005B16A9">
        <w:t>m</w:t>
      </w:r>
      <w:r w:rsidRPr="00BF6F6C">
        <w:t>ission,</w:t>
      </w:r>
    </w:p>
    <w:p w14:paraId="0CD8BD2A" w14:textId="24CC7533" w:rsidR="00BF6F6C" w:rsidRPr="00BF6F6C" w:rsidRDefault="00BF6F6C" w:rsidP="00BF6F6C">
      <w:pPr>
        <w:pStyle w:val="SingleTxtG"/>
        <w:ind w:firstLine="567"/>
      </w:pPr>
      <w:r w:rsidRPr="00BF6F6C">
        <w:rPr>
          <w:i/>
        </w:rPr>
        <w:t xml:space="preserve">Noting with appreciation </w:t>
      </w:r>
      <w:r w:rsidRPr="00BF6F6C">
        <w:t xml:space="preserve">all the work done </w:t>
      </w:r>
      <w:r w:rsidR="005B16A9">
        <w:t xml:space="preserve">to date </w:t>
      </w:r>
      <w:r w:rsidRPr="00BF6F6C">
        <w:t>by the</w:t>
      </w:r>
      <w:r w:rsidRPr="00BF6F6C">
        <w:rPr>
          <w:i/>
        </w:rPr>
        <w:t xml:space="preserve"> </w:t>
      </w:r>
      <w:r w:rsidR="005B16A9">
        <w:t>f</w:t>
      </w:r>
      <w:r w:rsidRPr="00BF6F6C">
        <w:t>act</w:t>
      </w:r>
      <w:r w:rsidR="004F535B">
        <w:t>-f</w:t>
      </w:r>
      <w:r w:rsidRPr="00BF6F6C">
        <w:t xml:space="preserve">inding </w:t>
      </w:r>
      <w:r w:rsidR="005B16A9">
        <w:t>m</w:t>
      </w:r>
      <w:r w:rsidRPr="00BF6F6C">
        <w:t>ission,</w:t>
      </w:r>
      <w:r w:rsidR="003F7FF0">
        <w:rPr>
          <w:rStyle w:val="FootnoteReference"/>
        </w:rPr>
        <w:footnoteReference w:id="4"/>
      </w:r>
    </w:p>
    <w:p w14:paraId="71DDBEBC" w14:textId="6ADC3A8F" w:rsidR="00BF6F6C" w:rsidRPr="00BF6F6C" w:rsidRDefault="00BF6F6C" w:rsidP="00BF6F6C">
      <w:pPr>
        <w:pStyle w:val="SingleTxtG"/>
        <w:ind w:firstLine="567"/>
      </w:pPr>
      <w:r w:rsidRPr="00BF6F6C">
        <w:rPr>
          <w:i/>
        </w:rPr>
        <w:t xml:space="preserve">Acknowledging </w:t>
      </w:r>
      <w:r w:rsidRPr="00BF6F6C">
        <w:t xml:space="preserve">that the </w:t>
      </w:r>
      <w:r w:rsidR="004F535B">
        <w:t>f</w:t>
      </w:r>
      <w:r w:rsidRPr="00BF6F6C">
        <w:t>act</w:t>
      </w:r>
      <w:r w:rsidR="004F535B">
        <w:t>-f</w:t>
      </w:r>
      <w:r w:rsidRPr="00BF6F6C">
        <w:t xml:space="preserve">inding </w:t>
      </w:r>
      <w:r w:rsidR="004F535B">
        <w:t>m</w:t>
      </w:r>
      <w:r w:rsidRPr="00BF6F6C">
        <w:t xml:space="preserve">ission </w:t>
      </w:r>
      <w:r w:rsidR="00135493">
        <w:t>was</w:t>
      </w:r>
      <w:r w:rsidR="00135493" w:rsidRPr="00BF6F6C">
        <w:t xml:space="preserve"> </w:t>
      </w:r>
      <w:r w:rsidRPr="00BF6F6C">
        <w:t xml:space="preserve">delayed </w:t>
      </w:r>
      <w:r w:rsidR="00135493">
        <w:t>in the commencement of its work</w:t>
      </w:r>
      <w:r w:rsidR="00135493" w:rsidRPr="00BF6F6C">
        <w:t xml:space="preserve"> </w:t>
      </w:r>
      <w:r w:rsidR="00135493">
        <w:t>by</w:t>
      </w:r>
      <w:r w:rsidRPr="00BF6F6C">
        <w:t xml:space="preserve"> administrative and logistical challenges, and that more time </w:t>
      </w:r>
      <w:r w:rsidR="001C61CA">
        <w:t>will be</w:t>
      </w:r>
      <w:r w:rsidR="001C61CA" w:rsidRPr="00BF6F6C">
        <w:t xml:space="preserve"> </w:t>
      </w:r>
      <w:r w:rsidRPr="00BF6F6C">
        <w:t xml:space="preserve">needed for </w:t>
      </w:r>
      <w:r w:rsidR="001C61CA">
        <w:t>it to</w:t>
      </w:r>
      <w:r w:rsidR="001C61CA" w:rsidRPr="00BF6F6C">
        <w:t xml:space="preserve"> </w:t>
      </w:r>
      <w:r w:rsidRPr="00BF6F6C">
        <w:t>complet</w:t>
      </w:r>
      <w:r w:rsidR="001C61CA">
        <w:t xml:space="preserve">e </w:t>
      </w:r>
      <w:r w:rsidRPr="00BF6F6C">
        <w:t>its remaining activities</w:t>
      </w:r>
      <w:r>
        <w:t>,</w:t>
      </w:r>
    </w:p>
    <w:p w14:paraId="62EB2144" w14:textId="7C30596D" w:rsidR="00BF6F6C" w:rsidRPr="00BF6F6C" w:rsidRDefault="00BF6F6C" w:rsidP="00BF6F6C">
      <w:pPr>
        <w:pStyle w:val="SingleTxtG"/>
        <w:ind w:firstLine="567"/>
      </w:pPr>
      <w:r>
        <w:rPr>
          <w:iCs/>
        </w:rPr>
        <w:t>1.</w:t>
      </w:r>
      <w:r>
        <w:rPr>
          <w:iCs/>
        </w:rPr>
        <w:tab/>
      </w:r>
      <w:r w:rsidRPr="00BF6F6C">
        <w:rPr>
          <w:i/>
        </w:rPr>
        <w:t>Decides</w:t>
      </w:r>
      <w:r w:rsidRPr="00BF6F6C">
        <w:t xml:space="preserve"> to extend the mandate of the </w:t>
      </w:r>
      <w:r w:rsidR="00135493">
        <w:t>f</w:t>
      </w:r>
      <w:r w:rsidRPr="00BF6F6C">
        <w:t>act-</w:t>
      </w:r>
      <w:r w:rsidR="00135493">
        <w:t>f</w:t>
      </w:r>
      <w:r w:rsidRPr="00BF6F6C">
        <w:t xml:space="preserve">inding </w:t>
      </w:r>
      <w:r w:rsidR="00135493">
        <w:t>m</w:t>
      </w:r>
      <w:r w:rsidRPr="00BF6F6C">
        <w:t>ission on Libya for a final</w:t>
      </w:r>
      <w:r w:rsidR="00135493">
        <w:t>,</w:t>
      </w:r>
      <w:r w:rsidRPr="00BF6F6C">
        <w:rPr>
          <w:i/>
        </w:rPr>
        <w:t xml:space="preserve"> </w:t>
      </w:r>
      <w:r w:rsidRPr="00BF6F6C">
        <w:t>non-extendable period of nine months, to present its concluding recommendations;</w:t>
      </w:r>
    </w:p>
    <w:p w14:paraId="716807FD" w14:textId="0ADB5039" w:rsidR="00BF6F6C" w:rsidRPr="00BF6F6C" w:rsidRDefault="00BF6F6C" w:rsidP="00BF6F6C">
      <w:pPr>
        <w:pStyle w:val="SingleTxtG"/>
        <w:ind w:firstLine="567"/>
      </w:pPr>
      <w:r>
        <w:rPr>
          <w:iCs/>
        </w:rPr>
        <w:t>2.</w:t>
      </w:r>
      <w:r>
        <w:rPr>
          <w:iCs/>
        </w:rPr>
        <w:tab/>
      </w:r>
      <w:r w:rsidRPr="00BF6F6C">
        <w:rPr>
          <w:i/>
        </w:rPr>
        <w:t>Requests</w:t>
      </w:r>
      <w:r w:rsidRPr="00BF6F6C">
        <w:t xml:space="preserve"> the </w:t>
      </w:r>
      <w:r w:rsidR="00242523">
        <w:t>f</w:t>
      </w:r>
      <w:r w:rsidRPr="00BF6F6C">
        <w:t>act-</w:t>
      </w:r>
      <w:r w:rsidR="00242523">
        <w:t>f</w:t>
      </w:r>
      <w:r w:rsidRPr="00BF6F6C">
        <w:t xml:space="preserve">inding </w:t>
      </w:r>
      <w:r w:rsidR="00242523">
        <w:t>m</w:t>
      </w:r>
      <w:r w:rsidRPr="00BF6F6C">
        <w:t>ission to present</w:t>
      </w:r>
      <w:r w:rsidR="009E68A7">
        <w:t>,</w:t>
      </w:r>
      <w:r w:rsidRPr="00BF6F6C">
        <w:t xml:space="preserve"> to the </w:t>
      </w:r>
      <w:r w:rsidR="00242523" w:rsidRPr="00BF6F6C">
        <w:t xml:space="preserve">Human Rights Council </w:t>
      </w:r>
      <w:r w:rsidR="0003309B">
        <w:t xml:space="preserve">at its </w:t>
      </w:r>
      <w:r w:rsidRPr="00BF6F6C">
        <w:t>fifty</w:t>
      </w:r>
      <w:r w:rsidR="0003309B">
        <w:t>-</w:t>
      </w:r>
      <w:r w:rsidRPr="00BF6F6C">
        <w:t>second session</w:t>
      </w:r>
      <w:r w:rsidR="009E68A7">
        <w:t>,</w:t>
      </w:r>
      <w:r w:rsidRPr="00BF6F6C">
        <w:t xml:space="preserve"> its final report on the situation of human rights in Libya, during an </w:t>
      </w:r>
      <w:r w:rsidRPr="00BF6F6C">
        <w:lastRenderedPageBreak/>
        <w:t xml:space="preserve">interactive dialogue, with a particular focus on </w:t>
      </w:r>
      <w:r w:rsidR="009E68A7">
        <w:t>its</w:t>
      </w:r>
      <w:r w:rsidR="009E68A7" w:rsidRPr="00BF6F6C">
        <w:t xml:space="preserve"> </w:t>
      </w:r>
      <w:r w:rsidRPr="00BF6F6C">
        <w:t xml:space="preserve">concrete and concluding recommendations </w:t>
      </w:r>
      <w:r w:rsidR="009E68A7">
        <w:t>for</w:t>
      </w:r>
      <w:r w:rsidR="009E68A7" w:rsidRPr="00BF6F6C">
        <w:t xml:space="preserve"> </w:t>
      </w:r>
      <w:r w:rsidRPr="00BF6F6C">
        <w:t>the Libyan authorities in the priority areas</w:t>
      </w:r>
      <w:r w:rsidR="009E68A7">
        <w:t xml:space="preserve"> of</w:t>
      </w:r>
      <w:r>
        <w:t>:</w:t>
      </w:r>
    </w:p>
    <w:p w14:paraId="3F077064" w14:textId="23AE06CA" w:rsidR="00BF6F6C" w:rsidRPr="00BF6F6C" w:rsidRDefault="00BF6F6C" w:rsidP="00BF6F6C">
      <w:pPr>
        <w:pStyle w:val="SingleTxtG"/>
        <w:ind w:firstLine="567"/>
      </w:pPr>
      <w:r>
        <w:t>(a)</w:t>
      </w:r>
      <w:r>
        <w:tab/>
      </w:r>
      <w:r w:rsidRPr="00BF6F6C">
        <w:t>Achieving transitional justice and national reconciliation</w:t>
      </w:r>
      <w:r>
        <w:t>;</w:t>
      </w:r>
    </w:p>
    <w:p w14:paraId="1B6F935B" w14:textId="6A2D81F8" w:rsidR="00BF6F6C" w:rsidRPr="00BF6F6C" w:rsidRDefault="00BF6F6C" w:rsidP="00BF6F6C">
      <w:pPr>
        <w:pStyle w:val="SingleTxtG"/>
        <w:ind w:firstLine="567"/>
      </w:pPr>
      <w:r>
        <w:t>(b)</w:t>
      </w:r>
      <w:r>
        <w:tab/>
      </w:r>
      <w:r w:rsidRPr="00BF6F6C">
        <w:t xml:space="preserve">Strengthening national human rights institutions and </w:t>
      </w:r>
      <w:r w:rsidR="0003309B">
        <w:t xml:space="preserve">the </w:t>
      </w:r>
      <w:r w:rsidRPr="00BF6F6C">
        <w:t>national action plan for human rights to follow</w:t>
      </w:r>
      <w:r w:rsidR="0003309B">
        <w:t>-</w:t>
      </w:r>
      <w:r w:rsidRPr="00BF6F6C">
        <w:t xml:space="preserve">up on the </w:t>
      </w:r>
      <w:r w:rsidR="00191DC5">
        <w:t xml:space="preserve">investigation of the </w:t>
      </w:r>
      <w:r w:rsidR="0003309B">
        <w:t>f</w:t>
      </w:r>
      <w:r w:rsidRPr="00BF6F6C">
        <w:t>act-</w:t>
      </w:r>
      <w:r w:rsidR="0003309B">
        <w:t>f</w:t>
      </w:r>
      <w:r w:rsidRPr="00BF6F6C">
        <w:t xml:space="preserve">inding </w:t>
      </w:r>
      <w:r w:rsidR="0003309B">
        <w:t>m</w:t>
      </w:r>
      <w:r w:rsidRPr="00BF6F6C">
        <w:t xml:space="preserve">ission </w:t>
      </w:r>
      <w:r w:rsidR="00191DC5">
        <w:t>and recommendations made by the t</w:t>
      </w:r>
      <w:r w:rsidRPr="00BF6F6C">
        <w:t xml:space="preserve">reaty </w:t>
      </w:r>
      <w:r w:rsidR="00191DC5">
        <w:t>b</w:t>
      </w:r>
      <w:r w:rsidRPr="00BF6F6C">
        <w:t>od</w:t>
      </w:r>
      <w:r w:rsidR="00191DC5">
        <w:t>ies</w:t>
      </w:r>
      <w:r w:rsidRPr="00BF6F6C">
        <w:t xml:space="preserve"> and </w:t>
      </w:r>
      <w:r w:rsidR="00191DC5">
        <w:t>in the context of the universal periodic review</w:t>
      </w:r>
      <w:r>
        <w:t>;</w:t>
      </w:r>
    </w:p>
    <w:p w14:paraId="2274DA89" w14:textId="7FDC7D06" w:rsidR="00BF6F6C" w:rsidRPr="00BF6F6C" w:rsidRDefault="00BF6F6C" w:rsidP="00BF6F6C">
      <w:pPr>
        <w:pStyle w:val="SingleTxtG"/>
        <w:ind w:firstLine="567"/>
      </w:pPr>
      <w:r>
        <w:t>(c)</w:t>
      </w:r>
      <w:r>
        <w:tab/>
      </w:r>
      <w:r w:rsidRPr="00BF6F6C">
        <w:t>Strengthening the rule of law</w:t>
      </w:r>
      <w:r w:rsidR="00191DC5">
        <w:t>,</w:t>
      </w:r>
      <w:r w:rsidRPr="00BF6F6C">
        <w:t xml:space="preserve"> including supporting judicial processes and law enforcement</w:t>
      </w:r>
      <w:r>
        <w:t>;</w:t>
      </w:r>
    </w:p>
    <w:p w14:paraId="77F07064" w14:textId="45D684F5" w:rsidR="00BF6F6C" w:rsidRPr="00BF6F6C" w:rsidRDefault="00BF6F6C" w:rsidP="00BF6F6C">
      <w:pPr>
        <w:pStyle w:val="SingleTxtG"/>
        <w:ind w:firstLine="567"/>
      </w:pPr>
      <w:r w:rsidRPr="00BF6F6C">
        <w:rPr>
          <w:iCs/>
        </w:rPr>
        <w:t>3.</w:t>
      </w:r>
      <w:r w:rsidRPr="00BF6F6C">
        <w:rPr>
          <w:iCs/>
        </w:rPr>
        <w:tab/>
      </w:r>
      <w:r w:rsidRPr="00BF6F6C">
        <w:rPr>
          <w:i/>
        </w:rPr>
        <w:t xml:space="preserve">Renews </w:t>
      </w:r>
      <w:r w:rsidRPr="00BF6F6C">
        <w:t xml:space="preserve">its request to the Office of the </w:t>
      </w:r>
      <w:r w:rsidR="00191DC5">
        <w:t xml:space="preserve">United Nations </w:t>
      </w:r>
      <w:r w:rsidRPr="00BF6F6C">
        <w:t>High Commissioner</w:t>
      </w:r>
      <w:r w:rsidR="00191DC5">
        <w:t xml:space="preserve"> for Human Rights</w:t>
      </w:r>
      <w:r w:rsidRPr="00BF6F6C">
        <w:t xml:space="preserve"> to provide more comprehensive and sustainable technical assistance and capacity-building to empower the Libyan authorities to follow up on the recommendations made by the </w:t>
      </w:r>
      <w:r w:rsidR="00191DC5">
        <w:t>f</w:t>
      </w:r>
      <w:r w:rsidRPr="00BF6F6C">
        <w:t>act</w:t>
      </w:r>
      <w:r w:rsidR="00191DC5">
        <w:t>-f</w:t>
      </w:r>
      <w:r w:rsidRPr="00BF6F6C">
        <w:t xml:space="preserve">inding </w:t>
      </w:r>
      <w:r w:rsidR="00191DC5">
        <w:t>m</w:t>
      </w:r>
      <w:r w:rsidRPr="00BF6F6C">
        <w:t xml:space="preserve">ission to protect and promote human rights, to prevent human rights violations and abuses and to ensure accountability, in accordance with the </w:t>
      </w:r>
      <w:r w:rsidR="00191DC5">
        <w:t>State</w:t>
      </w:r>
      <w:r w:rsidR="00191DC5" w:rsidRPr="00BF6F6C">
        <w:t xml:space="preserve">’s </w:t>
      </w:r>
      <w:r w:rsidRPr="00BF6F6C">
        <w:t>priorities;</w:t>
      </w:r>
    </w:p>
    <w:p w14:paraId="5E149620" w14:textId="71A9103F" w:rsidR="00BF6F6C" w:rsidRPr="00BF6F6C" w:rsidRDefault="00BF6F6C" w:rsidP="00BF6F6C">
      <w:pPr>
        <w:pStyle w:val="SingleTxtG"/>
        <w:ind w:firstLine="567"/>
      </w:pPr>
      <w:r>
        <w:rPr>
          <w:iCs/>
        </w:rPr>
        <w:t>4.</w:t>
      </w:r>
      <w:r>
        <w:rPr>
          <w:iCs/>
        </w:rPr>
        <w:tab/>
      </w:r>
      <w:r w:rsidRPr="00BF6F6C">
        <w:rPr>
          <w:i/>
        </w:rPr>
        <w:t>Requests</w:t>
      </w:r>
      <w:r w:rsidRPr="00BF6F6C">
        <w:t xml:space="preserve"> the Libyan authorities to continue to cooperate and engage with the </w:t>
      </w:r>
      <w:r w:rsidR="00191DC5">
        <w:t>f</w:t>
      </w:r>
      <w:r w:rsidRPr="00BF6F6C">
        <w:t>act</w:t>
      </w:r>
      <w:r w:rsidR="00191DC5">
        <w:t>-f</w:t>
      </w:r>
      <w:r w:rsidRPr="00BF6F6C">
        <w:t xml:space="preserve">inding </w:t>
      </w:r>
      <w:r w:rsidR="00191DC5">
        <w:t>m</w:t>
      </w:r>
      <w:r w:rsidRPr="00BF6F6C">
        <w:t>ission</w:t>
      </w:r>
      <w:r w:rsidR="00191DC5">
        <w:t>,</w:t>
      </w:r>
      <w:r w:rsidRPr="00BF6F6C">
        <w:t xml:space="preserve"> including </w:t>
      </w:r>
      <w:r w:rsidR="00191DC5">
        <w:t xml:space="preserve">by </w:t>
      </w:r>
      <w:r w:rsidRPr="00BF6F6C">
        <w:t xml:space="preserve">granting </w:t>
      </w:r>
      <w:r w:rsidR="00191DC5">
        <w:t>it</w:t>
      </w:r>
      <w:r w:rsidR="00191DC5" w:rsidRPr="00BF6F6C">
        <w:t xml:space="preserve"> </w:t>
      </w:r>
      <w:r w:rsidRPr="00BF6F6C">
        <w:t>access without delay;</w:t>
      </w:r>
    </w:p>
    <w:p w14:paraId="56D035BF" w14:textId="13E64081" w:rsidR="00BF6F6C" w:rsidRPr="00BF6F6C" w:rsidRDefault="00BF6F6C" w:rsidP="00BF6F6C">
      <w:pPr>
        <w:pStyle w:val="SingleTxtG"/>
        <w:ind w:firstLine="567"/>
      </w:pPr>
      <w:r>
        <w:rPr>
          <w:iCs/>
        </w:rPr>
        <w:t>5.</w:t>
      </w:r>
      <w:r>
        <w:rPr>
          <w:iCs/>
        </w:rPr>
        <w:tab/>
      </w:r>
      <w:r w:rsidRPr="00BF6F6C">
        <w:rPr>
          <w:i/>
        </w:rPr>
        <w:t>Requests</w:t>
      </w:r>
      <w:r w:rsidRPr="00BF6F6C">
        <w:t xml:space="preserve"> the Secretary-General to provide the Office of the High Commissioner with the resources necessary for the full implementation of the present resolution;</w:t>
      </w:r>
    </w:p>
    <w:p w14:paraId="58A3D431" w14:textId="56386D13" w:rsidR="00106EBB" w:rsidRDefault="00BF6F6C" w:rsidP="00BF6F6C">
      <w:pPr>
        <w:pStyle w:val="SingleTxtG"/>
        <w:ind w:firstLine="567"/>
      </w:pPr>
      <w:r>
        <w:rPr>
          <w:iCs/>
        </w:rPr>
        <w:t>6.</w:t>
      </w:r>
      <w:r>
        <w:rPr>
          <w:iCs/>
        </w:rPr>
        <w:tab/>
      </w:r>
      <w:r w:rsidRPr="00BF6F6C">
        <w:rPr>
          <w:i/>
        </w:rPr>
        <w:t>Decides</w:t>
      </w:r>
      <w:r w:rsidRPr="00BF6F6C">
        <w:t xml:space="preserve"> to remain seized of the matter.</w:t>
      </w:r>
    </w:p>
    <w:p w14:paraId="201051D1" w14:textId="63E25AF2" w:rsidR="00CF586F" w:rsidRPr="00BF6F6C" w:rsidRDefault="00BF6F6C" w:rsidP="00BF6F6C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9E791D">
        <w:rPr>
          <w:u w:val="single"/>
        </w:rPr>
        <w:tab/>
      </w:r>
    </w:p>
    <w:sectPr w:rsidR="00CF586F" w:rsidRPr="00BF6F6C" w:rsidSect="00106EB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7FE44" w14:textId="77777777" w:rsidR="004B6D91" w:rsidRDefault="004B6D91"/>
  </w:endnote>
  <w:endnote w:type="continuationSeparator" w:id="0">
    <w:p w14:paraId="34816656" w14:textId="77777777" w:rsidR="004B6D91" w:rsidRDefault="004B6D91"/>
  </w:endnote>
  <w:endnote w:type="continuationNotice" w:id="1">
    <w:p w14:paraId="1E033CF9" w14:textId="77777777" w:rsidR="004B6D91" w:rsidRDefault="004B6D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6F916" w14:textId="20660EE3" w:rsidR="00106EBB" w:rsidRPr="00106EBB" w:rsidRDefault="00106EBB" w:rsidP="00106EBB">
    <w:pPr>
      <w:pStyle w:val="Footer"/>
      <w:tabs>
        <w:tab w:val="right" w:pos="9638"/>
      </w:tabs>
      <w:rPr>
        <w:sz w:val="18"/>
      </w:rPr>
    </w:pPr>
    <w:r w:rsidRPr="00106EBB">
      <w:rPr>
        <w:b/>
        <w:sz w:val="18"/>
      </w:rPr>
      <w:fldChar w:fldCharType="begin"/>
    </w:r>
    <w:r w:rsidRPr="00106EBB">
      <w:rPr>
        <w:b/>
        <w:sz w:val="18"/>
      </w:rPr>
      <w:instrText xml:space="preserve"> PAGE  \* MERGEFORMAT </w:instrText>
    </w:r>
    <w:r w:rsidRPr="00106EBB">
      <w:rPr>
        <w:b/>
        <w:sz w:val="18"/>
      </w:rPr>
      <w:fldChar w:fldCharType="separate"/>
    </w:r>
    <w:r w:rsidR="009E791D">
      <w:rPr>
        <w:b/>
        <w:noProof/>
        <w:sz w:val="18"/>
      </w:rPr>
      <w:t>2</w:t>
    </w:r>
    <w:r w:rsidRPr="00106EB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EF98B" w14:textId="77777777" w:rsidR="00106EBB" w:rsidRPr="00106EBB" w:rsidRDefault="00106EBB" w:rsidP="00106EBB">
    <w:pPr>
      <w:pStyle w:val="Footer"/>
      <w:tabs>
        <w:tab w:val="right" w:pos="9638"/>
      </w:tabs>
      <w:rPr>
        <w:b/>
        <w:sz w:val="18"/>
      </w:rPr>
    </w:pPr>
    <w:r>
      <w:tab/>
    </w:r>
    <w:r w:rsidRPr="00106EBB">
      <w:rPr>
        <w:b/>
        <w:sz w:val="18"/>
      </w:rPr>
      <w:fldChar w:fldCharType="begin"/>
    </w:r>
    <w:r w:rsidRPr="00106EBB">
      <w:rPr>
        <w:b/>
        <w:sz w:val="18"/>
      </w:rPr>
      <w:instrText xml:space="preserve"> PAGE  \* MERGEFORMAT </w:instrText>
    </w:r>
    <w:r w:rsidRPr="00106EB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06EB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3F80" w14:textId="77C78949" w:rsidR="008F0910" w:rsidRDefault="008F0910" w:rsidP="008F0910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3F88143D" wp14:editId="627D30D7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EAA5EA" w14:textId="72A4D8CF" w:rsidR="008F0910" w:rsidRPr="008F0910" w:rsidRDefault="008F0910" w:rsidP="008F0910">
    <w:pPr>
      <w:pStyle w:val="Footer"/>
      <w:ind w:right="1134"/>
      <w:rPr>
        <w:sz w:val="20"/>
      </w:rPr>
    </w:pPr>
    <w:r>
      <w:rPr>
        <w:sz w:val="20"/>
      </w:rPr>
      <w:t>GE.22-10516(E)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61B5337A" wp14:editId="162DB41E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19A55" w14:textId="77777777" w:rsidR="004B6D91" w:rsidRPr="000B175B" w:rsidRDefault="004B6D9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08711D7" w14:textId="77777777" w:rsidR="004B6D91" w:rsidRPr="00FC68B7" w:rsidRDefault="004B6D9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3777A40" w14:textId="77777777" w:rsidR="004B6D91" w:rsidRDefault="004B6D91"/>
  </w:footnote>
  <w:footnote w:id="2">
    <w:p w14:paraId="52F42B9D" w14:textId="33BD91B7" w:rsidR="009007CA" w:rsidRPr="009007CA" w:rsidRDefault="009007CA">
      <w:pPr>
        <w:pStyle w:val="FootnoteText"/>
        <w:rPr>
          <w:szCs w:val="18"/>
        </w:rPr>
      </w:pPr>
      <w:r>
        <w:rPr>
          <w:rStyle w:val="FootnoteReference"/>
        </w:rPr>
        <w:tab/>
      </w:r>
      <w:r w:rsidRPr="009007CA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9007CA">
        <w:rPr>
          <w:szCs w:val="18"/>
        </w:rPr>
        <w:t>On behalf of the States Members of the United Nations that are members of the Group of African States.</w:t>
      </w:r>
    </w:p>
  </w:footnote>
  <w:footnote w:id="3">
    <w:p w14:paraId="4A0406FB" w14:textId="595B08FE" w:rsidR="009007CA" w:rsidRPr="009007CA" w:rsidRDefault="009007CA">
      <w:pPr>
        <w:pStyle w:val="FootnoteText"/>
      </w:pPr>
      <w:r>
        <w:rPr>
          <w:rStyle w:val="FootnoteReference"/>
        </w:rPr>
        <w:tab/>
      </w:r>
      <w:r w:rsidRPr="009007CA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>
        <w:t>State not a member of the Human Rights Council.</w:t>
      </w:r>
    </w:p>
  </w:footnote>
  <w:footnote w:id="4">
    <w:p w14:paraId="18A809E9" w14:textId="7127875B" w:rsidR="003F7FF0" w:rsidRPr="009E791D" w:rsidRDefault="003F7FF0">
      <w:pPr>
        <w:pStyle w:val="FootnoteText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</w:r>
      <w:r>
        <w:rPr>
          <w:lang w:val="en-US"/>
        </w:rPr>
        <w:t>See A/HRC/50/63.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EE772" w14:textId="4BFFA183" w:rsidR="00106EBB" w:rsidRPr="00106EBB" w:rsidRDefault="0085522F">
    <w:pPr>
      <w:pStyle w:val="Header"/>
    </w:pPr>
    <w:r>
      <w:t>A/HRC/</w:t>
    </w:r>
    <w:r w:rsidR="000C7BC3">
      <w:t>50</w:t>
    </w:r>
    <w:r>
      <w:t>/L.</w:t>
    </w:r>
    <w:r w:rsidR="00BF6F6C"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B4A14" w14:textId="44ED073B" w:rsidR="00106EBB" w:rsidRPr="00106EBB" w:rsidRDefault="008F0910" w:rsidP="00106EB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F6F6C">
      <w:t>A/HRC/37/L.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17526"/>
    <w:multiLevelType w:val="multilevel"/>
    <w:tmpl w:val="15EC7B04"/>
    <w:lvl w:ilvl="0">
      <w:start w:val="1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7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9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6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3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21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2"/>
  </w:num>
  <w:num w:numId="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EBB"/>
    <w:rsid w:val="00007F7F"/>
    <w:rsid w:val="0001521B"/>
    <w:rsid w:val="00022156"/>
    <w:rsid w:val="00022DB5"/>
    <w:rsid w:val="0003309B"/>
    <w:rsid w:val="000403D1"/>
    <w:rsid w:val="000449AA"/>
    <w:rsid w:val="00050F6B"/>
    <w:rsid w:val="0005662A"/>
    <w:rsid w:val="00072C8C"/>
    <w:rsid w:val="00073E70"/>
    <w:rsid w:val="000876EB"/>
    <w:rsid w:val="00091419"/>
    <w:rsid w:val="000931C0"/>
    <w:rsid w:val="000B175B"/>
    <w:rsid w:val="000B2851"/>
    <w:rsid w:val="000B3A0F"/>
    <w:rsid w:val="000B4A3B"/>
    <w:rsid w:val="000C59D8"/>
    <w:rsid w:val="000C7BC3"/>
    <w:rsid w:val="000D1851"/>
    <w:rsid w:val="000E0415"/>
    <w:rsid w:val="00106EBB"/>
    <w:rsid w:val="00135493"/>
    <w:rsid w:val="00146D32"/>
    <w:rsid w:val="001509BA"/>
    <w:rsid w:val="00191DC5"/>
    <w:rsid w:val="001B4B04"/>
    <w:rsid w:val="001C61CA"/>
    <w:rsid w:val="001C6663"/>
    <w:rsid w:val="001C7895"/>
    <w:rsid w:val="001C7FAD"/>
    <w:rsid w:val="001D26DF"/>
    <w:rsid w:val="001E2790"/>
    <w:rsid w:val="00211E0B"/>
    <w:rsid w:val="00211E72"/>
    <w:rsid w:val="00214047"/>
    <w:rsid w:val="0022130F"/>
    <w:rsid w:val="00237785"/>
    <w:rsid w:val="002410DD"/>
    <w:rsid w:val="00241466"/>
    <w:rsid w:val="00242523"/>
    <w:rsid w:val="00253D58"/>
    <w:rsid w:val="0027725F"/>
    <w:rsid w:val="00280506"/>
    <w:rsid w:val="002A7BAB"/>
    <w:rsid w:val="002C21F0"/>
    <w:rsid w:val="002C307C"/>
    <w:rsid w:val="00307657"/>
    <w:rsid w:val="003107FA"/>
    <w:rsid w:val="003229D8"/>
    <w:rsid w:val="003314D1"/>
    <w:rsid w:val="00335A2F"/>
    <w:rsid w:val="00341937"/>
    <w:rsid w:val="0039277A"/>
    <w:rsid w:val="003972E0"/>
    <w:rsid w:val="003975ED"/>
    <w:rsid w:val="003C2CC4"/>
    <w:rsid w:val="003D4B23"/>
    <w:rsid w:val="003F7FF0"/>
    <w:rsid w:val="00400AFC"/>
    <w:rsid w:val="00424C80"/>
    <w:rsid w:val="004325CB"/>
    <w:rsid w:val="0044503A"/>
    <w:rsid w:val="00446DE4"/>
    <w:rsid w:val="00447761"/>
    <w:rsid w:val="00450ED2"/>
    <w:rsid w:val="00451EC3"/>
    <w:rsid w:val="004647E7"/>
    <w:rsid w:val="004721B1"/>
    <w:rsid w:val="004859EC"/>
    <w:rsid w:val="00496A15"/>
    <w:rsid w:val="004B59A1"/>
    <w:rsid w:val="004B6D91"/>
    <w:rsid w:val="004B75D2"/>
    <w:rsid w:val="004D1140"/>
    <w:rsid w:val="004F535B"/>
    <w:rsid w:val="004F55ED"/>
    <w:rsid w:val="0052176C"/>
    <w:rsid w:val="00524C18"/>
    <w:rsid w:val="005261E5"/>
    <w:rsid w:val="005420F2"/>
    <w:rsid w:val="00542574"/>
    <w:rsid w:val="005436AB"/>
    <w:rsid w:val="00546924"/>
    <w:rsid w:val="00546DBF"/>
    <w:rsid w:val="00553D76"/>
    <w:rsid w:val="005552B5"/>
    <w:rsid w:val="0056117B"/>
    <w:rsid w:val="00562621"/>
    <w:rsid w:val="00571365"/>
    <w:rsid w:val="005A0E16"/>
    <w:rsid w:val="005A0F6F"/>
    <w:rsid w:val="005B16A9"/>
    <w:rsid w:val="005B3DB3"/>
    <w:rsid w:val="005B6E48"/>
    <w:rsid w:val="005C6B13"/>
    <w:rsid w:val="005D53BE"/>
    <w:rsid w:val="005E1712"/>
    <w:rsid w:val="00611FC4"/>
    <w:rsid w:val="006176FB"/>
    <w:rsid w:val="00640B26"/>
    <w:rsid w:val="00655B60"/>
    <w:rsid w:val="0065600A"/>
    <w:rsid w:val="00661009"/>
    <w:rsid w:val="00670741"/>
    <w:rsid w:val="00693646"/>
    <w:rsid w:val="00696BD6"/>
    <w:rsid w:val="006A6B9D"/>
    <w:rsid w:val="006A7392"/>
    <w:rsid w:val="006B3189"/>
    <w:rsid w:val="006B7D65"/>
    <w:rsid w:val="006D6DA6"/>
    <w:rsid w:val="006E11B7"/>
    <w:rsid w:val="006E564B"/>
    <w:rsid w:val="006F13F0"/>
    <w:rsid w:val="006F5035"/>
    <w:rsid w:val="007065EB"/>
    <w:rsid w:val="00720183"/>
    <w:rsid w:val="00724C69"/>
    <w:rsid w:val="0072632A"/>
    <w:rsid w:val="0074200B"/>
    <w:rsid w:val="007A6296"/>
    <w:rsid w:val="007A79E4"/>
    <w:rsid w:val="007B6BA5"/>
    <w:rsid w:val="007C1B62"/>
    <w:rsid w:val="007C3390"/>
    <w:rsid w:val="007C4F4B"/>
    <w:rsid w:val="007D2CDC"/>
    <w:rsid w:val="007D5327"/>
    <w:rsid w:val="007F6611"/>
    <w:rsid w:val="008155C3"/>
    <w:rsid w:val="008175E9"/>
    <w:rsid w:val="0082243E"/>
    <w:rsid w:val="008242D7"/>
    <w:rsid w:val="0085522F"/>
    <w:rsid w:val="00856CD2"/>
    <w:rsid w:val="00861BC6"/>
    <w:rsid w:val="00871FD5"/>
    <w:rsid w:val="008847BB"/>
    <w:rsid w:val="008979B1"/>
    <w:rsid w:val="008A6B25"/>
    <w:rsid w:val="008A6C4F"/>
    <w:rsid w:val="008C1E4D"/>
    <w:rsid w:val="008D0E1D"/>
    <w:rsid w:val="008E0E46"/>
    <w:rsid w:val="008F0910"/>
    <w:rsid w:val="009007CA"/>
    <w:rsid w:val="0090452C"/>
    <w:rsid w:val="00907C3F"/>
    <w:rsid w:val="0092237C"/>
    <w:rsid w:val="0093707B"/>
    <w:rsid w:val="009400EB"/>
    <w:rsid w:val="009427E3"/>
    <w:rsid w:val="00946575"/>
    <w:rsid w:val="00956D9B"/>
    <w:rsid w:val="00963CBA"/>
    <w:rsid w:val="009654B7"/>
    <w:rsid w:val="00991261"/>
    <w:rsid w:val="009A0B83"/>
    <w:rsid w:val="009B3800"/>
    <w:rsid w:val="009D22AC"/>
    <w:rsid w:val="009D50DB"/>
    <w:rsid w:val="009E1C4E"/>
    <w:rsid w:val="009E68A7"/>
    <w:rsid w:val="009E791D"/>
    <w:rsid w:val="00A0036A"/>
    <w:rsid w:val="00A05E0B"/>
    <w:rsid w:val="00A1427D"/>
    <w:rsid w:val="00A4634F"/>
    <w:rsid w:val="00A51CF3"/>
    <w:rsid w:val="00A72F22"/>
    <w:rsid w:val="00A73D32"/>
    <w:rsid w:val="00A748A6"/>
    <w:rsid w:val="00A879A4"/>
    <w:rsid w:val="00A87E95"/>
    <w:rsid w:val="00A92E29"/>
    <w:rsid w:val="00AC5AE2"/>
    <w:rsid w:val="00AD09E9"/>
    <w:rsid w:val="00AF0576"/>
    <w:rsid w:val="00AF3829"/>
    <w:rsid w:val="00B017B8"/>
    <w:rsid w:val="00B037F0"/>
    <w:rsid w:val="00B06D6B"/>
    <w:rsid w:val="00B2327D"/>
    <w:rsid w:val="00B2718F"/>
    <w:rsid w:val="00B30179"/>
    <w:rsid w:val="00B3317B"/>
    <w:rsid w:val="00B334DC"/>
    <w:rsid w:val="00B3631A"/>
    <w:rsid w:val="00B53013"/>
    <w:rsid w:val="00B67F5E"/>
    <w:rsid w:val="00B73E65"/>
    <w:rsid w:val="00B81E12"/>
    <w:rsid w:val="00B87110"/>
    <w:rsid w:val="00B97FA8"/>
    <w:rsid w:val="00BC1385"/>
    <w:rsid w:val="00BC74E9"/>
    <w:rsid w:val="00BD3C4B"/>
    <w:rsid w:val="00BE618E"/>
    <w:rsid w:val="00BE655C"/>
    <w:rsid w:val="00BF6F6C"/>
    <w:rsid w:val="00C217E7"/>
    <w:rsid w:val="00C23A46"/>
    <w:rsid w:val="00C24693"/>
    <w:rsid w:val="00C35F0B"/>
    <w:rsid w:val="00C463DD"/>
    <w:rsid w:val="00C61A98"/>
    <w:rsid w:val="00C62FC3"/>
    <w:rsid w:val="00C64458"/>
    <w:rsid w:val="00C67C07"/>
    <w:rsid w:val="00C745C3"/>
    <w:rsid w:val="00C85C0B"/>
    <w:rsid w:val="00C878C2"/>
    <w:rsid w:val="00CA2A58"/>
    <w:rsid w:val="00CA2F81"/>
    <w:rsid w:val="00CC0B55"/>
    <w:rsid w:val="00CD6995"/>
    <w:rsid w:val="00CE23F4"/>
    <w:rsid w:val="00CE4A8F"/>
    <w:rsid w:val="00CE7821"/>
    <w:rsid w:val="00CF0214"/>
    <w:rsid w:val="00CF33D7"/>
    <w:rsid w:val="00CF586F"/>
    <w:rsid w:val="00CF7D43"/>
    <w:rsid w:val="00D11129"/>
    <w:rsid w:val="00D14BE4"/>
    <w:rsid w:val="00D15E0B"/>
    <w:rsid w:val="00D2031B"/>
    <w:rsid w:val="00D22332"/>
    <w:rsid w:val="00D25FE2"/>
    <w:rsid w:val="00D43252"/>
    <w:rsid w:val="00D550F9"/>
    <w:rsid w:val="00D572B0"/>
    <w:rsid w:val="00D62E90"/>
    <w:rsid w:val="00D76BE5"/>
    <w:rsid w:val="00D978C6"/>
    <w:rsid w:val="00DA67AD"/>
    <w:rsid w:val="00DB18CE"/>
    <w:rsid w:val="00DB4A9A"/>
    <w:rsid w:val="00DB5566"/>
    <w:rsid w:val="00DE3EC0"/>
    <w:rsid w:val="00DF2BF1"/>
    <w:rsid w:val="00E11593"/>
    <w:rsid w:val="00E12B6B"/>
    <w:rsid w:val="00E130AB"/>
    <w:rsid w:val="00E33201"/>
    <w:rsid w:val="00E438D9"/>
    <w:rsid w:val="00E5644E"/>
    <w:rsid w:val="00E7260F"/>
    <w:rsid w:val="00E806EE"/>
    <w:rsid w:val="00E96630"/>
    <w:rsid w:val="00EB0FB9"/>
    <w:rsid w:val="00ED0CA9"/>
    <w:rsid w:val="00ED7A2A"/>
    <w:rsid w:val="00EF1D7F"/>
    <w:rsid w:val="00EF5BDB"/>
    <w:rsid w:val="00F07FD9"/>
    <w:rsid w:val="00F23933"/>
    <w:rsid w:val="00F24119"/>
    <w:rsid w:val="00F40E75"/>
    <w:rsid w:val="00F42CD9"/>
    <w:rsid w:val="00F52936"/>
    <w:rsid w:val="00F54083"/>
    <w:rsid w:val="00F677CB"/>
    <w:rsid w:val="00F67B04"/>
    <w:rsid w:val="00F976E5"/>
    <w:rsid w:val="00FA7DF3"/>
    <w:rsid w:val="00FC68B7"/>
    <w:rsid w:val="00FD7C12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F52E16"/>
  <w15:docId w15:val="{8BF502AF-336F-469A-ACC3-151517A51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692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qFormat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qFormat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qFormat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qFormat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qFormat/>
    <w:rsid w:val="00CF0214"/>
  </w:style>
  <w:style w:type="character" w:styleId="PageNumber">
    <w:name w:val="page number"/>
    <w:aliases w:val="7_G"/>
    <w:qFormat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qFormat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qFormat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alloonText">
    <w:name w:val="Balloon Text"/>
    <w:basedOn w:val="Normal"/>
    <w:link w:val="BalloonTextChar"/>
    <w:semiHidden/>
    <w:rsid w:val="009465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946575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5A0E16"/>
    <w:pPr>
      <w:numPr>
        <w:numId w:val="8"/>
      </w:numPr>
      <w:kinsoku w:val="0"/>
      <w:overflowPunct w:val="0"/>
      <w:autoSpaceDE w:val="0"/>
      <w:autoSpaceDN w:val="0"/>
      <w:adjustRightInd w:val="0"/>
      <w:snapToGrid w:val="0"/>
    </w:pPr>
  </w:style>
  <w:style w:type="paragraph" w:styleId="Revision">
    <w:name w:val="Revision"/>
    <w:hidden/>
    <w:uiPriority w:val="99"/>
    <w:semiHidden/>
    <w:rsid w:val="006E11B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N-Docs2017\Templates\A\A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81E5C17102F64B8BF8C8A62C862C65" ma:contentTypeVersion="17" ma:contentTypeDescription="Create a new document." ma:contentTypeScope="" ma:versionID="d0db866ad73224f6d417ecca01becbdd">
  <xsd:schema xmlns:xsd="http://www.w3.org/2001/XMLSchema" xmlns:xs="http://www.w3.org/2001/XMLSchema" xmlns:p="http://schemas.microsoft.com/office/2006/metadata/properties" xmlns:ns2="03f70f19-e89e-44b9-ac87-203e4f9d8d9f" targetNamespace="http://schemas.microsoft.com/office/2006/metadata/properties" ma:root="true" ma:fieldsID="131d407b3e61461529437ca4e4fb475e" ns2:_="">
    <xsd:import namespace="03f70f19-e89e-44b9-ac87-203e4f9d8d9f"/>
    <xsd:element name="properties">
      <xsd:complexType>
        <xsd:sequence>
          <xsd:element name="documentManagement">
            <xsd:complexType>
              <xsd:all>
                <xsd:element ref="ns2:Symbol_x0020_Number" minOccurs="0"/>
                <xsd:element ref="ns2:Type_x0020_of_x0020_Document" minOccurs="0"/>
                <xsd:element ref="ns2:Voting_x0020_Process_x0020_Order" minOccurs="0"/>
                <xsd:element ref="ns2:Other_x0020_Languag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70f19-e89e-44b9-ac87-203e4f9d8d9f" elementFormDefault="qualified">
    <xsd:import namespace="http://schemas.microsoft.com/office/2006/documentManagement/types"/>
    <xsd:import namespace="http://schemas.microsoft.com/office/infopath/2007/PartnerControls"/>
    <xsd:element name="Symbol_x0020_Number" ma:index="8" nillable="true" ma:displayName="Symbol Number" ma:internalName="Symbol_x0020_Number">
      <xsd:simpleType>
        <xsd:restriction base="dms:Text">
          <xsd:maxLength value="255"/>
        </xsd:restriction>
      </xsd:simpleType>
    </xsd:element>
    <xsd:element name="Type_x0020_of_x0020_Document" ma:index="9" nillable="true" ma:displayName="Type of Document" ma:default="0 - Final document as adopted" ma:format="Dropdown" ma:internalName="Type_x0020_of_x0020_Document">
      <xsd:simpleType>
        <xsd:restriction base="dms:Choice">
          <xsd:enumeration value="0 - Final document as adopted"/>
          <xsd:enumeration value="1 - Voting Process"/>
          <xsd:enumeration value="2 - PBI"/>
          <xsd:enumeration value="3 - Oral revisions"/>
          <xsd:enumeration value="4 - L. document as issued"/>
          <xsd:enumeration value="5 - L. document as received"/>
          <xsd:enumeration value="Introductory Statement"/>
        </xsd:restriction>
      </xsd:simpleType>
    </xsd:element>
    <xsd:element name="Voting_x0020_Process_x0020_Order" ma:index="10" nillable="true" ma:displayName="Voting Process Order" ma:internalName="Voting_x0020_Process_x0020_Order">
      <xsd:simpleType>
        <xsd:restriction base="dms:Number"/>
      </xsd:simpleType>
    </xsd:element>
    <xsd:element name="Other_x0020_Languages" ma:index="11" nillable="true" ma:displayName="Other Languages" ma:format="Hyperlink" ma:internalName="Other_x0020_Languag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Languages xmlns="03f70f19-e89e-44b9-ac87-203e4f9d8d9f">
      <Url>https://ap.ohchr.org/documents/dpage_e.aspx?si=A/HRC/50/L.23</Url>
      <Description>Available</Description>
    </Other_x0020_Languages>
    <Type_x0020_of_x0020_Document xmlns="03f70f19-e89e-44b9-ac87-203e4f9d8d9f">4 - L. document as issued</Type_x0020_of_x0020_Document>
    <Symbol_x0020_Number xmlns="03f70f19-e89e-44b9-ac87-203e4f9d8d9f" xsi:nil="true"/>
    <Voting_x0020_Process_x0020_Order xmlns="03f70f19-e89e-44b9-ac87-203e4f9d8d9f" xsi:nil="true"/>
  </documentManagement>
</p:properties>
</file>

<file path=customXml/itemProps1.xml><?xml version="1.0" encoding="utf-8"?>
<ds:datastoreItem xmlns:ds="http://schemas.openxmlformats.org/officeDocument/2006/customXml" ds:itemID="{655F38E6-3360-4C0E-B6EC-3381589D998C}"/>
</file>

<file path=customXml/itemProps2.xml><?xml version="1.0" encoding="utf-8"?>
<ds:datastoreItem xmlns:ds="http://schemas.openxmlformats.org/officeDocument/2006/customXml" ds:itemID="{AB0BF713-BAE7-4DA5-925D-D6B0EBCF9575}"/>
</file>

<file path=customXml/itemProps3.xml><?xml version="1.0" encoding="utf-8"?>
<ds:datastoreItem xmlns:ds="http://schemas.openxmlformats.org/officeDocument/2006/customXml" ds:itemID="{84B96DF9-9EEE-4A69-8F1A-E58FBA4D50C9}"/>
</file>

<file path=docProps/app.xml><?xml version="1.0" encoding="utf-8"?>
<Properties xmlns="http://schemas.openxmlformats.org/officeDocument/2006/extended-properties" xmlns:vt="http://schemas.openxmlformats.org/officeDocument/2006/docPropsVTypes">
  <Template>A_E.dotm</Template>
  <TotalTime>0</TotalTime>
  <Pages>2</Pages>
  <Words>508</Words>
  <Characters>3008</Characters>
  <Application>Microsoft Office Word</Application>
  <DocSecurity>0</DocSecurity>
  <Lines>64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A/HRC/37/L.</vt:lpstr>
      <vt:lpstr/>
    </vt:vector>
  </TitlesOfParts>
  <Company>CSD</Company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A/HRC/50/L.23</dc:title>
  <dc:subject>2210516</dc:subject>
  <dc:creator>Sumiko IHARA</dc:creator>
  <cp:keywords/>
  <dc:description/>
  <cp:lastModifiedBy>Don Canete Martin</cp:lastModifiedBy>
  <cp:revision>2</cp:revision>
  <cp:lastPrinted>2008-01-29T08:30:00Z</cp:lastPrinted>
  <dcterms:created xsi:type="dcterms:W3CDTF">2022-07-04T11:35:00Z</dcterms:created>
  <dcterms:modified xsi:type="dcterms:W3CDTF">2022-07-04T11:35:00Z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0x0101009381E5C17102F64B8BF8C8A62C862C65</vt:lpwstr>
  </property>
</Properties>
</file>