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E0FD0B9" w14:textId="27957F76" w:rsidR="00446DE4" w:rsidRPr="00DE3EC0" w:rsidRDefault="00EE06CD" w:rsidP="002E3041">
            <w:pPr>
              <w:jc w:val="right"/>
            </w:pPr>
            <w:r w:rsidRPr="00EE06CD">
              <w:rPr>
                <w:sz w:val="40"/>
              </w:rPr>
              <w:t>A</w:t>
            </w:r>
            <w:r w:rsidR="00C06876">
              <w:t>/HRC/4</w:t>
            </w:r>
            <w:r w:rsidR="00E6568C">
              <w:t>9</w:t>
            </w:r>
            <w:r>
              <w:t>/L</w:t>
            </w:r>
            <w:r w:rsidR="000E6A58">
              <w:t>.8</w:t>
            </w:r>
          </w:p>
        </w:tc>
      </w:tr>
      <w:tr w:rsidR="003107FA"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4B7EF4E4" w:rsidR="003107FA" w:rsidRDefault="00F30C6C" w:rsidP="00562621">
            <w:pPr>
              <w:spacing w:before="120"/>
              <w:jc w:val="center"/>
            </w:pPr>
            <w:r>
              <w:rPr>
                <w:noProof/>
                <w:lang w:eastAsia="en-GB"/>
              </w:rPr>
              <w:drawing>
                <wp:inline distT="0" distB="0" distL="0" distR="0" wp14:anchorId="38B1541B" wp14:editId="237B47D1">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Default="00EE06CD" w:rsidP="00EE06CD">
            <w:pPr>
              <w:spacing w:before="240" w:line="240" w:lineRule="exact"/>
            </w:pPr>
            <w:r>
              <w:t xml:space="preserve">Distr.: </w:t>
            </w:r>
            <w:r w:rsidR="002929B6">
              <w:t>Limited</w:t>
            </w:r>
          </w:p>
          <w:p w14:paraId="5314717B" w14:textId="305A73D1" w:rsidR="00EE06CD" w:rsidRDefault="00F30C6C" w:rsidP="00EE06CD">
            <w:pPr>
              <w:spacing w:line="240" w:lineRule="exact"/>
            </w:pPr>
            <w:r>
              <w:t>2</w:t>
            </w:r>
            <w:r w:rsidR="00741876">
              <w:t>4</w:t>
            </w:r>
            <w:r w:rsidR="00E6568C">
              <w:t xml:space="preserve"> March </w:t>
            </w:r>
            <w:r w:rsidR="00CF1FDA">
              <w:t>202</w:t>
            </w:r>
            <w:r w:rsidR="00E6568C">
              <w:t>2</w:t>
            </w:r>
          </w:p>
          <w:p w14:paraId="52526063" w14:textId="77777777" w:rsidR="00EE06CD" w:rsidRDefault="00EE06CD" w:rsidP="00EE06CD">
            <w:pPr>
              <w:spacing w:line="240" w:lineRule="exact"/>
            </w:pPr>
          </w:p>
          <w:p w14:paraId="3D48949A" w14:textId="77777777" w:rsidR="00EE06CD" w:rsidRDefault="00EE06CD" w:rsidP="00EE06CD">
            <w:pPr>
              <w:spacing w:line="240" w:lineRule="exact"/>
            </w:pPr>
            <w:r>
              <w:t>Original: English</w:t>
            </w:r>
          </w:p>
        </w:tc>
      </w:tr>
    </w:tbl>
    <w:p w14:paraId="6845049E" w14:textId="77777777" w:rsidR="00EE06CD" w:rsidRPr="00EE06CD" w:rsidRDefault="00EE06CD" w:rsidP="00EE06CD">
      <w:pPr>
        <w:spacing w:before="120"/>
        <w:rPr>
          <w:b/>
          <w:sz w:val="24"/>
          <w:szCs w:val="24"/>
        </w:rPr>
      </w:pPr>
      <w:r w:rsidRPr="00EE06CD">
        <w:rPr>
          <w:b/>
          <w:sz w:val="24"/>
          <w:szCs w:val="24"/>
        </w:rPr>
        <w:t>Human Rights Council</w:t>
      </w:r>
    </w:p>
    <w:p w14:paraId="3ACF079A" w14:textId="6773A813" w:rsidR="00EE06CD" w:rsidRPr="00EE06CD" w:rsidRDefault="001C7ACB" w:rsidP="00EE06CD">
      <w:pPr>
        <w:rPr>
          <w:b/>
        </w:rPr>
      </w:pPr>
      <w:r>
        <w:rPr>
          <w:b/>
        </w:rPr>
        <w:t>Forty-</w:t>
      </w:r>
      <w:r w:rsidR="00E6568C">
        <w:rPr>
          <w:b/>
        </w:rPr>
        <w:t>nin</w:t>
      </w:r>
      <w:r w:rsidR="00560CFA">
        <w:rPr>
          <w:b/>
        </w:rPr>
        <w:t>th</w:t>
      </w:r>
      <w:r w:rsidR="00C06876">
        <w:rPr>
          <w:b/>
        </w:rPr>
        <w:t xml:space="preserve"> </w:t>
      </w:r>
      <w:r w:rsidR="00EE06CD" w:rsidRPr="00EE06CD">
        <w:rPr>
          <w:b/>
        </w:rPr>
        <w:t>session</w:t>
      </w:r>
    </w:p>
    <w:p w14:paraId="56695525" w14:textId="77777777" w:rsidR="00E6568C" w:rsidRPr="00911D44" w:rsidRDefault="00E6568C" w:rsidP="00E6568C">
      <w:r w:rsidRPr="00911D44">
        <w:t>28 February–1 April 2022</w:t>
      </w:r>
    </w:p>
    <w:p w14:paraId="08B918BB" w14:textId="77777777" w:rsidR="00EE06CD" w:rsidRPr="00EE06CD" w:rsidRDefault="00EE06CD" w:rsidP="00EE06CD">
      <w:r w:rsidRPr="00EE06CD">
        <w:t>Agenda item 3</w:t>
      </w:r>
    </w:p>
    <w:p w14:paraId="3FF67D40" w14:textId="284DD249"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6E2FC661" w14:textId="09A5DB20" w:rsidR="00EE06CD" w:rsidRPr="00EE06CD" w:rsidRDefault="00EE06CD" w:rsidP="00F533F0">
      <w:pPr>
        <w:keepNext/>
        <w:keepLines/>
        <w:tabs>
          <w:tab w:val="right" w:pos="851"/>
        </w:tabs>
        <w:spacing w:before="240" w:after="120" w:line="240" w:lineRule="exact"/>
        <w:ind w:left="1134" w:right="1134" w:hanging="1134"/>
        <w:jc w:val="both"/>
        <w:rPr>
          <w:b/>
        </w:rPr>
      </w:pPr>
      <w:r w:rsidRPr="00EE06CD">
        <w:rPr>
          <w:b/>
        </w:rPr>
        <w:tab/>
      </w:r>
      <w:r w:rsidRPr="00EE06CD">
        <w:rPr>
          <w:b/>
        </w:rPr>
        <w:tab/>
      </w:r>
      <w:r w:rsidR="00AD3BB7" w:rsidRPr="00AD3BB7">
        <w:rPr>
          <w:b/>
        </w:rPr>
        <w:t>Argentina, Armenia, Australia,</w:t>
      </w:r>
      <w:r w:rsidR="00AD3BB7" w:rsidRPr="00F533F0">
        <w:rPr>
          <w:rStyle w:val="FootnoteReference"/>
          <w:b/>
          <w:sz w:val="20"/>
          <w:vertAlign w:val="baseline"/>
        </w:rPr>
        <w:footnoteReference w:customMarkFollows="1" w:id="2"/>
        <w:t>*</w:t>
      </w:r>
      <w:r w:rsidR="00AD3BB7" w:rsidRPr="00AD3BB7">
        <w:rPr>
          <w:b/>
        </w:rPr>
        <w:t xml:space="preserve"> Austria,* Belgium,* Benin, Bosnia and Herzegovina,* Bulgaria,* Canada,* Chile,* Croatia,* Cyprus,* Denmark,* Ecuador,* Estonia,* Ethiopia,* Finland, Georgia,* Germany, Greece,* Hungary,* Iceland,* Iraq,* Ireland,* Italy,* Latvia,* Lithuania, Luxembourg, Mali,* Malta,* Monaco,* Montenegro, Netherlands, New Zealand,* North Macedonia,* Norway,* Peru,* Poland, Portugal,* Romania,* Serbia,* Slovakia,* Slovenia,* Spain,* Sweden,* Switzerland,* Ukraine, United States of America and Uruguay*</w:t>
      </w:r>
      <w:r w:rsidR="003D1D03">
        <w:rPr>
          <w:b/>
        </w:rPr>
        <w:t>:</w:t>
      </w:r>
      <w:r w:rsidRPr="00EE06CD">
        <w:rPr>
          <w:b/>
        </w:rPr>
        <w:t xml:space="preserve"> draft resolution</w:t>
      </w:r>
    </w:p>
    <w:p w14:paraId="39DA780A" w14:textId="58562272" w:rsidR="00EE06CD" w:rsidRPr="00EE06CD" w:rsidRDefault="005F4C5D" w:rsidP="00EE06CD">
      <w:pPr>
        <w:keepNext/>
        <w:keepLines/>
        <w:spacing w:before="360" w:after="240" w:line="270" w:lineRule="exact"/>
        <w:ind w:left="1843" w:right="1134" w:hanging="709"/>
        <w:rPr>
          <w:b/>
          <w:sz w:val="24"/>
        </w:rPr>
      </w:pPr>
      <w:r>
        <w:rPr>
          <w:b/>
          <w:sz w:val="24"/>
        </w:rPr>
        <w:t>4</w:t>
      </w:r>
      <w:r w:rsidR="00E6568C">
        <w:rPr>
          <w:b/>
          <w:sz w:val="24"/>
        </w:rPr>
        <w:t>9</w:t>
      </w:r>
      <w:r w:rsidR="00EE06CD" w:rsidRPr="00EE06CD">
        <w:rPr>
          <w:b/>
          <w:sz w:val="24"/>
        </w:rPr>
        <w:t>/…</w:t>
      </w:r>
      <w:r w:rsidR="00EE06CD" w:rsidRPr="00EE06CD">
        <w:rPr>
          <w:b/>
          <w:sz w:val="24"/>
        </w:rPr>
        <w:tab/>
      </w:r>
      <w:r w:rsidR="000E6A58" w:rsidRPr="000E6A58">
        <w:rPr>
          <w:b/>
          <w:sz w:val="24"/>
        </w:rPr>
        <w:t>Cultural rights and the protection of cultural heritage</w:t>
      </w:r>
    </w:p>
    <w:p w14:paraId="0D3BFAC4" w14:textId="6ACF6119" w:rsidR="00EE06CD" w:rsidRPr="00A64D50" w:rsidRDefault="000E6A58" w:rsidP="00A64D50">
      <w:pPr>
        <w:pStyle w:val="SingleTxtG"/>
        <w:ind w:firstLine="567"/>
        <w:rPr>
          <w:i/>
        </w:rPr>
      </w:pPr>
      <w:r w:rsidRPr="00A64D50">
        <w:rPr>
          <w:i/>
        </w:rPr>
        <w:tab/>
      </w:r>
      <w:r w:rsidR="00EE06CD" w:rsidRPr="00A64D50">
        <w:rPr>
          <w:i/>
        </w:rPr>
        <w:t>The Human Rights Council</w:t>
      </w:r>
      <w:r w:rsidR="00EE06CD" w:rsidRPr="00F533F0">
        <w:rPr>
          <w:iCs/>
        </w:rPr>
        <w:t>,</w:t>
      </w:r>
    </w:p>
    <w:p w14:paraId="1E68E967" w14:textId="77777777" w:rsidR="000E6A58" w:rsidRDefault="000E6A58" w:rsidP="00D92989">
      <w:pPr>
        <w:pStyle w:val="SingleTxtG"/>
        <w:ind w:firstLine="567"/>
      </w:pPr>
      <w:r>
        <w:rPr>
          <w:i/>
        </w:rPr>
        <w:t xml:space="preserve">Guided </w:t>
      </w:r>
      <w:r>
        <w:t>by the purposes and principles of the Charter of the United Nations,</w:t>
      </w:r>
    </w:p>
    <w:p w14:paraId="39CECF50" w14:textId="77777777" w:rsidR="000E6A58" w:rsidRDefault="000E6A58" w:rsidP="00D92989">
      <w:pPr>
        <w:pStyle w:val="SingleTxtG"/>
        <w:ind w:firstLine="567"/>
      </w:pPr>
      <w:r>
        <w:rPr>
          <w:i/>
        </w:rPr>
        <w:t xml:space="preserve">Recalling </w:t>
      </w:r>
      <w:r>
        <w:t>the Universal Declaration of Human Rights, the Vienna Declaration and Programme of Action, the Declaration on the Right to Development and all relevant international human rights treaties, including the International Covenant on Economic, Social and Cultural Rights and the International Covenant on Civil and Political Rights, and reaffirming the human rights and fundamental freedoms enshrined therein,</w:t>
      </w:r>
    </w:p>
    <w:p w14:paraId="4DF4010F" w14:textId="77777777" w:rsidR="000E6A58" w:rsidRDefault="000E6A58" w:rsidP="00D92989">
      <w:pPr>
        <w:pStyle w:val="SingleTxtG"/>
        <w:ind w:firstLine="567"/>
      </w:pPr>
      <w:r>
        <w:rPr>
          <w:i/>
        </w:rPr>
        <w:t xml:space="preserve">Recalling also </w:t>
      </w:r>
      <w:r>
        <w:t>General Assembly resolution 60/251 of 15 March 2006, by which the Assembly established the Human Rights Council and in which it stated that all human rights are universal, indivisible, interrelated, interdependent and mutually reinforcing, and must be treated in a fair and equal manner, on the same footing and with the same emphasis,</w:t>
      </w:r>
    </w:p>
    <w:p w14:paraId="24D983DA" w14:textId="77777777" w:rsidR="000E6A58" w:rsidRDefault="000E6A58" w:rsidP="00D92989">
      <w:pPr>
        <w:pStyle w:val="SingleTxtG"/>
        <w:ind w:firstLine="567"/>
      </w:pPr>
      <w:r>
        <w:rPr>
          <w:i/>
        </w:rPr>
        <w:t xml:space="preserve">Recalling further </w:t>
      </w:r>
      <w:r>
        <w:rPr>
          <w:iCs/>
        </w:rPr>
        <w:t xml:space="preserve">previous </w:t>
      </w:r>
      <w:r>
        <w:t>Human Rights Council resolutions on cultural rights and the protection of cultural heritage,</w:t>
      </w:r>
    </w:p>
    <w:p w14:paraId="47A40F26" w14:textId="1C610B81" w:rsidR="000E6A58" w:rsidRPr="0035219C" w:rsidRDefault="000E6A58" w:rsidP="00D92989">
      <w:pPr>
        <w:pStyle w:val="SingleTxtG"/>
        <w:ind w:firstLine="567"/>
        <w:rPr>
          <w:iCs/>
        </w:rPr>
      </w:pPr>
      <w:r w:rsidRPr="00EC1128">
        <w:rPr>
          <w:i/>
        </w:rPr>
        <w:t xml:space="preserve">Recalling </w:t>
      </w:r>
      <w:r>
        <w:rPr>
          <w:iCs/>
        </w:rPr>
        <w:t>General Assembly resolution 76/16 of 6 December 2021 on the return or restitution of cultural property to the countries of origin,</w:t>
      </w:r>
    </w:p>
    <w:p w14:paraId="7BE5ED2F" w14:textId="77777777" w:rsidR="000E6A58" w:rsidRDefault="000E6A58" w:rsidP="00D92989">
      <w:pPr>
        <w:pStyle w:val="SingleTxtG"/>
        <w:ind w:firstLine="567"/>
      </w:pPr>
      <w:r>
        <w:rPr>
          <w:i/>
        </w:rPr>
        <w:t xml:space="preserve">Convinced </w:t>
      </w:r>
      <w:r>
        <w:t>that damage to cultural heritage, both tangible and intangible, of any people constitutes damage to the cultural heritage of humanity as a whole,</w:t>
      </w:r>
    </w:p>
    <w:p w14:paraId="3EC90FBF" w14:textId="77777777" w:rsidR="000E6A58" w:rsidRDefault="000E6A58" w:rsidP="00D92989">
      <w:pPr>
        <w:pStyle w:val="SingleTxtG"/>
        <w:ind w:firstLine="567"/>
      </w:pPr>
      <w:r>
        <w:rPr>
          <w:i/>
        </w:rPr>
        <w:t xml:space="preserve">Recognizing </w:t>
      </w:r>
      <w:r>
        <w:t>that the duty of ensuring the identification, protection, conservation, presentation and transmission to future generations of cultural heritage belongs primarily to the State on whose territory it is situated,</w:t>
      </w:r>
    </w:p>
    <w:p w14:paraId="426DECFA" w14:textId="6E47231F" w:rsidR="000E6A58" w:rsidRPr="0035219C" w:rsidRDefault="000E6A58" w:rsidP="00D92989">
      <w:pPr>
        <w:pStyle w:val="SingleTxtG"/>
        <w:ind w:firstLine="567"/>
        <w:rPr>
          <w:iCs/>
        </w:rPr>
      </w:pPr>
      <w:r>
        <w:rPr>
          <w:i/>
        </w:rPr>
        <w:lastRenderedPageBreak/>
        <w:t>Acknowledging</w:t>
      </w:r>
      <w:r>
        <w:rPr>
          <w:iCs/>
        </w:rPr>
        <w:t xml:space="preserve"> that cultural heritage can be instrumentalized as a trigger for and a target in conflicts and crises and can be </w:t>
      </w:r>
      <w:r w:rsidR="004F4243">
        <w:rPr>
          <w:iCs/>
        </w:rPr>
        <w:t xml:space="preserve">the </w:t>
      </w:r>
      <w:r>
        <w:rPr>
          <w:iCs/>
        </w:rPr>
        <w:t>subject of disinformation or information manipulation,</w:t>
      </w:r>
    </w:p>
    <w:p w14:paraId="0E28FD74" w14:textId="77777777" w:rsidR="000E6A58" w:rsidRDefault="000E6A58" w:rsidP="00D92989">
      <w:pPr>
        <w:pStyle w:val="SingleTxtG"/>
        <w:ind w:firstLine="567"/>
      </w:pPr>
      <w:r>
        <w:rPr>
          <w:i/>
        </w:rPr>
        <w:t xml:space="preserve">Noting </w:t>
      </w:r>
      <w:r>
        <w:t>that the destruction of or damage to cultural heritage may have a detrimental and irreversible impact on the enjoyment of cultural rights, in particular the right of everyone to take part in cultural life, including the ability to access and enjoy cultural heritage,</w:t>
      </w:r>
    </w:p>
    <w:p w14:paraId="558FFB52" w14:textId="5BB5C9D3" w:rsidR="000E6A58" w:rsidRDefault="000E6A58" w:rsidP="00D92989">
      <w:pPr>
        <w:pStyle w:val="SingleTxtG"/>
        <w:ind w:firstLine="567"/>
      </w:pPr>
      <w:r>
        <w:rPr>
          <w:i/>
        </w:rPr>
        <w:t xml:space="preserve">Reaffirming </w:t>
      </w:r>
      <w:r>
        <w:t xml:space="preserve">that safeguarding the enjoyment of cultural rights may form a crucial part of the response to many current global challenges, among others the </w:t>
      </w:r>
      <w:r w:rsidR="004F4243">
        <w:t>coronavirus disease (</w:t>
      </w:r>
      <w:r>
        <w:t>COVID-19</w:t>
      </w:r>
      <w:r w:rsidR="004F4243">
        <w:t>)</w:t>
      </w:r>
      <w:r>
        <w:t xml:space="preserve"> pandemic, </w:t>
      </w:r>
      <w:r w:rsidR="004F4243">
        <w:t xml:space="preserve">the </w:t>
      </w:r>
      <w:r>
        <w:t>adverse impact of climate change</w:t>
      </w:r>
      <w:r w:rsidR="004F4243">
        <w:t xml:space="preserve"> and </w:t>
      </w:r>
      <w:r>
        <w:t>the scourge of terrorism,</w:t>
      </w:r>
    </w:p>
    <w:p w14:paraId="0FA94AC4" w14:textId="77777777" w:rsidR="000E6A58" w:rsidRDefault="000E6A58" w:rsidP="00D92989">
      <w:pPr>
        <w:pStyle w:val="SingleTxtG"/>
        <w:ind w:firstLine="567"/>
      </w:pPr>
      <w:r>
        <w:rPr>
          <w:i/>
        </w:rPr>
        <w:t xml:space="preserve">Reaffirming also </w:t>
      </w:r>
      <w:r>
        <w:t>that addressing the destruction of tangible and intangible cultural heritage needs to be holistic, encompassing all regions, contemplating both prevention and accountability, focusing on acts by State and non-State actors in both conflict and non- conflict situations, and terrorist acts,</w:t>
      </w:r>
    </w:p>
    <w:p w14:paraId="6CA5E9BD" w14:textId="77777777" w:rsidR="000E6A58" w:rsidRDefault="000E6A58" w:rsidP="00D92989">
      <w:pPr>
        <w:pStyle w:val="SingleTxtG"/>
        <w:ind w:firstLine="567"/>
      </w:pPr>
      <w:r>
        <w:rPr>
          <w:i/>
        </w:rPr>
        <w:t xml:space="preserve">Recognizing </w:t>
      </w:r>
      <w:r>
        <w:t>that the violation or abuse of the right of everyone to take part in cultural life, including the ability to access and enjoy cultural heritage, may threaten stability, social cohesion and cultural identity, and constitutes an aggravating factor in conflict and a major obstacle to dialogue, peace and reconciliation,</w:t>
      </w:r>
    </w:p>
    <w:p w14:paraId="3404DBC4" w14:textId="444244E8" w:rsidR="000E6A58" w:rsidRDefault="000E6A58" w:rsidP="00D92989">
      <w:pPr>
        <w:pStyle w:val="SingleTxtG"/>
        <w:ind w:firstLine="567"/>
        <w:rPr>
          <w:iCs/>
        </w:rPr>
      </w:pPr>
      <w:r>
        <w:rPr>
          <w:i/>
        </w:rPr>
        <w:t>Recognizing</w:t>
      </w:r>
      <w:r w:rsidR="006F30D9" w:rsidRPr="006F30D9">
        <w:rPr>
          <w:i/>
        </w:rPr>
        <w:t xml:space="preserve"> </w:t>
      </w:r>
      <w:r w:rsidR="006F30D9">
        <w:rPr>
          <w:i/>
        </w:rPr>
        <w:t>also</w:t>
      </w:r>
      <w:r>
        <w:rPr>
          <w:i/>
        </w:rPr>
        <w:t xml:space="preserve"> </w:t>
      </w:r>
      <w:r>
        <w:rPr>
          <w:iCs/>
        </w:rPr>
        <w:t xml:space="preserve">the fundamental role of education in ensuring access to and </w:t>
      </w:r>
      <w:r w:rsidR="004F4243">
        <w:rPr>
          <w:iCs/>
        </w:rPr>
        <w:t xml:space="preserve">the </w:t>
      </w:r>
      <w:r>
        <w:rPr>
          <w:iCs/>
        </w:rPr>
        <w:t>enjoyment of cultural rights and cultural life</w:t>
      </w:r>
      <w:r w:rsidR="004F4243">
        <w:rPr>
          <w:iCs/>
        </w:rPr>
        <w:t>,</w:t>
      </w:r>
      <w:r>
        <w:rPr>
          <w:iCs/>
        </w:rPr>
        <w:t xml:space="preserve"> and recalling to this end the relevance of </w:t>
      </w:r>
      <w:r w:rsidR="004F4243">
        <w:rPr>
          <w:iCs/>
        </w:rPr>
        <w:t xml:space="preserve">Sustainable Development Goal </w:t>
      </w:r>
      <w:r>
        <w:rPr>
          <w:iCs/>
        </w:rPr>
        <w:t xml:space="preserve">target 4.7 to be implemented and </w:t>
      </w:r>
      <w:r w:rsidR="004F4243">
        <w:rPr>
          <w:iCs/>
        </w:rPr>
        <w:t xml:space="preserve">the </w:t>
      </w:r>
      <w:r>
        <w:rPr>
          <w:iCs/>
        </w:rPr>
        <w:t>promotion of quality education and lifelong learning for all,</w:t>
      </w:r>
    </w:p>
    <w:p w14:paraId="396FBB74" w14:textId="0E1D91BA" w:rsidR="000E6A58" w:rsidRDefault="000E6A58" w:rsidP="00D92989">
      <w:pPr>
        <w:pStyle w:val="SingleTxtG"/>
        <w:ind w:firstLine="567"/>
        <w:rPr>
          <w:iCs/>
        </w:rPr>
      </w:pPr>
      <w:r w:rsidRPr="00EC1128">
        <w:rPr>
          <w:i/>
          <w:iCs/>
        </w:rPr>
        <w:t xml:space="preserve">Acknowledging </w:t>
      </w:r>
      <w:r w:rsidRPr="00F41548">
        <w:rPr>
          <w:iCs/>
        </w:rPr>
        <w:t>the importance of intercultural and intracultural dialogue and of the promotion of cultural diversity in strengthening social cohesion and sustainable development to achieve the 2030 Agenda</w:t>
      </w:r>
      <w:r w:rsidR="004F4243">
        <w:rPr>
          <w:iCs/>
        </w:rPr>
        <w:t xml:space="preserve"> for Sustainable Development</w:t>
      </w:r>
      <w:r w:rsidRPr="00F41548">
        <w:rPr>
          <w:iCs/>
        </w:rPr>
        <w:t xml:space="preserve">, </w:t>
      </w:r>
      <w:r w:rsidR="004F4243">
        <w:rPr>
          <w:iCs/>
        </w:rPr>
        <w:t xml:space="preserve">and </w:t>
      </w:r>
      <w:r w:rsidRPr="00F41548">
        <w:rPr>
          <w:iCs/>
        </w:rPr>
        <w:t xml:space="preserve">the key role of indigenous peoples and/or </w:t>
      </w:r>
      <w:bookmarkStart w:id="0" w:name="OLE_LINK9"/>
      <w:bookmarkStart w:id="1" w:name="OLE_LINK10"/>
      <w:r w:rsidRPr="00F41548">
        <w:rPr>
          <w:iCs/>
        </w:rPr>
        <w:t xml:space="preserve">persons belonging to national or ethnic, religious and linguistic minorities </w:t>
      </w:r>
      <w:bookmarkEnd w:id="0"/>
      <w:bookmarkEnd w:id="1"/>
      <w:r w:rsidRPr="00F41548">
        <w:rPr>
          <w:iCs/>
        </w:rPr>
        <w:t xml:space="preserve">in </w:t>
      </w:r>
      <w:r>
        <w:rPr>
          <w:iCs/>
        </w:rPr>
        <w:t xml:space="preserve">maintaining, controlling, protecting, developing and </w:t>
      </w:r>
      <w:r w:rsidRPr="00F41548">
        <w:rPr>
          <w:iCs/>
        </w:rPr>
        <w:t>preserving tangible and intangible cultural heritage,</w:t>
      </w:r>
    </w:p>
    <w:p w14:paraId="0E773566" w14:textId="1F6C3BA1" w:rsidR="000E6A58" w:rsidRPr="00F41548" w:rsidRDefault="000E6A58" w:rsidP="00D92989">
      <w:pPr>
        <w:pStyle w:val="SingleTxtG"/>
        <w:ind w:firstLine="567"/>
        <w:rPr>
          <w:iCs/>
        </w:rPr>
      </w:pPr>
      <w:r w:rsidRPr="00D239AA">
        <w:rPr>
          <w:rFonts w:cstheme="minorHAnsi"/>
          <w:i/>
          <w:iCs/>
        </w:rPr>
        <w:t>Acknowledging</w:t>
      </w:r>
      <w:r w:rsidRPr="00D239AA">
        <w:rPr>
          <w:rFonts w:cstheme="minorHAnsi"/>
        </w:rPr>
        <w:t xml:space="preserve"> </w:t>
      </w:r>
      <w:r w:rsidR="006F30D9" w:rsidRPr="00EC1128">
        <w:rPr>
          <w:i/>
          <w:iCs/>
        </w:rPr>
        <w:t>also</w:t>
      </w:r>
      <w:r w:rsidR="006F30D9" w:rsidRPr="00F41548">
        <w:rPr>
          <w:iCs/>
        </w:rPr>
        <w:t xml:space="preserve"> </w:t>
      </w:r>
      <w:r w:rsidRPr="00D239AA">
        <w:rPr>
          <w:rFonts w:cstheme="minorHAnsi"/>
        </w:rPr>
        <w:t xml:space="preserve">the necessity to protect the cultural heritage of persons belonging to minorities from intentional destruction aimed at erasing evidence of their presence as a key factor for </w:t>
      </w:r>
      <w:r w:rsidR="00C3225F">
        <w:rPr>
          <w:rFonts w:cstheme="minorHAnsi"/>
        </w:rPr>
        <w:t xml:space="preserve">the </w:t>
      </w:r>
      <w:r w:rsidRPr="00D239AA">
        <w:rPr>
          <w:rFonts w:cstheme="minorHAnsi"/>
        </w:rPr>
        <w:t>preservation of their identity,</w:t>
      </w:r>
    </w:p>
    <w:p w14:paraId="0E483EE2" w14:textId="77777777" w:rsidR="000E6A58" w:rsidRDefault="000E6A58" w:rsidP="00D92989">
      <w:pPr>
        <w:pStyle w:val="SingleTxtG"/>
        <w:ind w:firstLine="567"/>
      </w:pPr>
      <w:r>
        <w:rPr>
          <w:i/>
        </w:rPr>
        <w:t xml:space="preserve">Strongly condemning </w:t>
      </w:r>
      <w:r>
        <w:t>all acts of unlawful destruction of cultural heritage, which are often committed during or in the aftermath of armed conflicts around the world, or as a result of terrorist attacks,</w:t>
      </w:r>
    </w:p>
    <w:p w14:paraId="04A119C1" w14:textId="77777777" w:rsidR="000E6A58" w:rsidRDefault="000E6A58" w:rsidP="00D92989">
      <w:pPr>
        <w:pStyle w:val="SingleTxtG"/>
        <w:ind w:firstLine="567"/>
      </w:pPr>
      <w:r>
        <w:rPr>
          <w:i/>
        </w:rPr>
        <w:t xml:space="preserve">Noting with deep concern </w:t>
      </w:r>
      <w:r>
        <w:t>the organized looting, smuggling and theft of and illicit trafficking in cultural property that could undermine the full enjoyment of cultural rights, and are contrary to international law and may, in some instances, generate funds for the financing of terrorism,</w:t>
      </w:r>
    </w:p>
    <w:p w14:paraId="3365B6B0" w14:textId="77777777" w:rsidR="000E6A58" w:rsidRDefault="000E6A58" w:rsidP="00D92989">
      <w:pPr>
        <w:pStyle w:val="SingleTxtG"/>
        <w:ind w:firstLine="567"/>
      </w:pPr>
      <w:r>
        <w:rPr>
          <w:i/>
        </w:rPr>
        <w:t xml:space="preserve">Acknowledging </w:t>
      </w:r>
      <w:r>
        <w:t>the importance of early restoration of the full enjoyment of cultural rights to individuals affected by conflict, and in particular to those who are</w:t>
      </w:r>
      <w:r>
        <w:rPr>
          <w:spacing w:val="-12"/>
        </w:rPr>
        <w:t xml:space="preserve"> </w:t>
      </w:r>
      <w:r>
        <w:t>displaced,</w:t>
      </w:r>
    </w:p>
    <w:p w14:paraId="601E52E8" w14:textId="77777777" w:rsidR="000E6A58" w:rsidRDefault="000E6A58" w:rsidP="00D92989">
      <w:pPr>
        <w:pStyle w:val="SingleTxtG"/>
        <w:ind w:firstLine="567"/>
      </w:pPr>
      <w:r>
        <w:rPr>
          <w:i/>
        </w:rPr>
        <w:t xml:space="preserve">Emphasizing </w:t>
      </w:r>
      <w:r>
        <w:t>the important role that the Human Rights Council can play, in concert with all other relevant international actors, in global efforts to protect, restore and preserve cultural heritage, with a view to promoting universal respect for cultural rights by</w:t>
      </w:r>
      <w:r>
        <w:rPr>
          <w:spacing w:val="-20"/>
        </w:rPr>
        <w:t xml:space="preserve"> </w:t>
      </w:r>
      <w:r>
        <w:rPr>
          <w:spacing w:val="3"/>
        </w:rPr>
        <w:t>all,</w:t>
      </w:r>
    </w:p>
    <w:p w14:paraId="065F6760" w14:textId="77777777" w:rsidR="000E6A58" w:rsidRDefault="000E6A58" w:rsidP="00D92989">
      <w:pPr>
        <w:pStyle w:val="SingleTxtG"/>
        <w:ind w:firstLine="567"/>
      </w:pPr>
      <w:r>
        <w:rPr>
          <w:i/>
        </w:rPr>
        <w:t xml:space="preserve">Recognizing </w:t>
      </w:r>
      <w:r>
        <w:t>the important contribution that United Nations peacekeeping missions can make in the protection of cultural heritage and the safeguarding of the enjoyment of cultural rights, both during and in the aftermath of armed conflicts,</w:t>
      </w:r>
    </w:p>
    <w:p w14:paraId="150D803B" w14:textId="77777777" w:rsidR="000E6A58" w:rsidRDefault="000E6A58" w:rsidP="00D92989">
      <w:pPr>
        <w:pStyle w:val="SingleTxtG"/>
        <w:ind w:firstLine="567"/>
      </w:pPr>
      <w:r>
        <w:rPr>
          <w:i/>
        </w:rPr>
        <w:t xml:space="preserve">Acknowledging </w:t>
      </w:r>
      <w:r>
        <w:t>the important role of the United Nations Educational, Scientific and Cultural Organization, the United Nations Office on Drugs and Crime, the International Criminal Police Organization and the World Customs Organization in international efforts to combat and prevent damage or destruction, organized looting, smuggling and theft of and illicit trafficking in cultural property, and to restore damaged property,</w:t>
      </w:r>
    </w:p>
    <w:p w14:paraId="41FD0D4F" w14:textId="77777777" w:rsidR="000E6A58" w:rsidRDefault="000E6A58" w:rsidP="00D92989">
      <w:pPr>
        <w:pStyle w:val="SingleTxtG"/>
        <w:ind w:firstLine="567"/>
      </w:pPr>
      <w:r>
        <w:rPr>
          <w:i/>
        </w:rPr>
        <w:t xml:space="preserve">Welcoming </w:t>
      </w:r>
      <w:r>
        <w:t>all initiatives, whether by States, institutions or private persons, for the voluntary return of cultural property, and in particular those concerning cultural property that has been illicitly appropriated,</w:t>
      </w:r>
    </w:p>
    <w:p w14:paraId="23F45A2E" w14:textId="77777777" w:rsidR="000E6A58" w:rsidRDefault="000E6A58" w:rsidP="00D92989">
      <w:pPr>
        <w:pStyle w:val="SingleTxtG"/>
        <w:ind w:firstLine="567"/>
      </w:pPr>
      <w:r>
        <w:rPr>
          <w:i/>
        </w:rPr>
        <w:t xml:space="preserve">Recognizing </w:t>
      </w:r>
      <w:r>
        <w:t>that technology, and in particular the Internet, may enhance cultural creation and dissemination by enabling new forms of curating and sharing, and engagement with, cultural heritage,</w:t>
      </w:r>
    </w:p>
    <w:p w14:paraId="70345F50" w14:textId="3F814CE3" w:rsidR="000E6A58" w:rsidRDefault="000E6A58" w:rsidP="00D92989">
      <w:pPr>
        <w:pStyle w:val="SingleTxtG"/>
        <w:ind w:firstLine="567"/>
      </w:pPr>
      <w:r>
        <w:rPr>
          <w:i/>
        </w:rPr>
        <w:t xml:space="preserve">Taking note with appreciation </w:t>
      </w:r>
      <w:r>
        <w:t>of the report of the United Nations High Commissioner for Human Rights on the intersessional workshop on cultural rights and the protection of cultural heritage,</w:t>
      </w:r>
      <w:r>
        <w:rPr>
          <w:rStyle w:val="FootnoteReference"/>
        </w:rPr>
        <w:footnoteReference w:id="3"/>
      </w:r>
      <w:r>
        <w:rPr>
          <w:position w:val="6"/>
          <w:sz w:val="12"/>
        </w:rPr>
        <w:t xml:space="preserve"> </w:t>
      </w:r>
      <w:r w:rsidRPr="00D239AA">
        <w:t xml:space="preserve">which </w:t>
      </w:r>
      <w:r w:rsidR="004F4243">
        <w:t xml:space="preserve">contained a compilation of </w:t>
      </w:r>
      <w:r w:rsidRPr="00D239AA">
        <w:t xml:space="preserve">recommendations on the implementation of the human rights framework and on the development of appropriate tools for the dissemination of a human rights-based approach </w:t>
      </w:r>
      <w:r>
        <w:t xml:space="preserve">to the protection, restoration and </w:t>
      </w:r>
      <w:r w:rsidR="00F125A8">
        <w:t xml:space="preserve">preservation </w:t>
      </w:r>
      <w:r>
        <w:t xml:space="preserve">of cultural heritage, by focusing on mainstreaming a human rights-based approach to cultural heritage, including tools; </w:t>
      </w:r>
      <w:r w:rsidR="00654E6C">
        <w:t xml:space="preserve">on </w:t>
      </w:r>
      <w:r>
        <w:t xml:space="preserve">cultural heritage in crisis; and </w:t>
      </w:r>
      <w:r w:rsidR="00654E6C">
        <w:t xml:space="preserve">on </w:t>
      </w:r>
      <w:r>
        <w:t xml:space="preserve">respecting and protecting the rights of cultural rights defenders and supporting their work </w:t>
      </w:r>
      <w:r w:rsidRPr="0018757C">
        <w:t>on cultural heritage protection</w:t>
      </w:r>
      <w:r w:rsidR="00EC1128">
        <w:t>,</w:t>
      </w:r>
    </w:p>
    <w:p w14:paraId="243980A4" w14:textId="7AFB27CB" w:rsidR="000E6A58" w:rsidRDefault="000E6A58" w:rsidP="00D92989">
      <w:pPr>
        <w:pStyle w:val="SingleTxtG"/>
        <w:ind w:firstLine="567"/>
      </w:pPr>
      <w:r w:rsidRPr="00D239AA">
        <w:rPr>
          <w:i/>
          <w:iCs/>
        </w:rPr>
        <w:t>Recalling</w:t>
      </w:r>
      <w:r w:rsidRPr="00D239AA">
        <w:t xml:space="preserve"> the </w:t>
      </w:r>
      <w:r w:rsidR="00BF5285">
        <w:t>r</w:t>
      </w:r>
      <w:r w:rsidRPr="00D239AA">
        <w:t>eport of the Special Rapporteur in the field of cultural rights,</w:t>
      </w:r>
      <w:r w:rsidR="006F30D9">
        <w:rPr>
          <w:rStyle w:val="FootnoteReference"/>
        </w:rPr>
        <w:footnoteReference w:id="4"/>
      </w:r>
      <w:r w:rsidRPr="00E27D78">
        <w:t xml:space="preserve"> </w:t>
      </w:r>
      <w:r w:rsidRPr="00F533F0">
        <w:t>in</w:t>
      </w:r>
      <w:r w:rsidRPr="00E27D78">
        <w:t xml:space="preserve"> which </w:t>
      </w:r>
      <w:r w:rsidRPr="00F533F0">
        <w:t>she</w:t>
      </w:r>
      <w:r w:rsidRPr="00E27D78">
        <w:t xml:space="preserve"> considered </w:t>
      </w:r>
      <w:r w:rsidRPr="00D239AA">
        <w:t>the negative impact</w:t>
      </w:r>
      <w:r w:rsidR="00FA7335">
        <w:t>s</w:t>
      </w:r>
      <w:r w:rsidRPr="00D239AA">
        <w:t xml:space="preserve"> of climate change on human cultures and on the enjoyment of cultural rights and stressed the positive potential of cultures and the exercise of cultural rights to serve as critical tools in responding to the challenge of climate change</w:t>
      </w:r>
      <w:r w:rsidR="00EC1128">
        <w:t>,</w:t>
      </w:r>
    </w:p>
    <w:p w14:paraId="4D08E1BA" w14:textId="37ADBE9F" w:rsidR="000E6A58" w:rsidRDefault="000E6A58" w:rsidP="00A64D50">
      <w:pPr>
        <w:pStyle w:val="SingleTxtG"/>
        <w:ind w:firstLine="567"/>
      </w:pPr>
      <w:r>
        <w:rPr>
          <w:i/>
        </w:rPr>
        <w:t xml:space="preserve">Reaffirming </w:t>
      </w:r>
      <w:r>
        <w:t>the importance of the Declaration on the Right and Responsibility of Individuals, Groups and Organs of Society to Promote and Protect Universally Recognized Human Rights and Fundamental Freedoms and its implementation, and in the context of its twentieth anniversary, highlighting in particular the important contribution made by cultural rights defenders involved in the protection of the cultural heritage of all humankind,</w:t>
      </w:r>
    </w:p>
    <w:p w14:paraId="68C887B7" w14:textId="2233C8DE" w:rsidR="000E6A58" w:rsidRPr="00D92989" w:rsidRDefault="00D92989" w:rsidP="00D92989">
      <w:pPr>
        <w:pStyle w:val="SingleTxtG"/>
        <w:ind w:firstLine="567"/>
      </w:pPr>
      <w:r w:rsidRPr="00D92989">
        <w:rPr>
          <w:w w:val="99"/>
          <w:lang w:val="en-US"/>
        </w:rPr>
        <w:t>1.</w:t>
      </w:r>
      <w:r w:rsidRPr="00D92989">
        <w:rPr>
          <w:w w:val="99"/>
          <w:lang w:val="en-US"/>
        </w:rPr>
        <w:tab/>
      </w:r>
      <w:r w:rsidR="000E6A58" w:rsidRPr="00D92989">
        <w:rPr>
          <w:i/>
        </w:rPr>
        <w:t xml:space="preserve">Calls upon </w:t>
      </w:r>
      <w:r w:rsidR="000E6A58" w:rsidRPr="00D92989">
        <w:t>all States to respect, promote and protect the right of everyone to take part in cultural life, including the ability to access and enjoy cultural</w:t>
      </w:r>
      <w:r w:rsidR="000E6A58" w:rsidRPr="00D92989">
        <w:rPr>
          <w:spacing w:val="-18"/>
        </w:rPr>
        <w:t xml:space="preserve"> </w:t>
      </w:r>
      <w:r w:rsidR="000E6A58" w:rsidRPr="00D92989">
        <w:t>heritage;</w:t>
      </w:r>
    </w:p>
    <w:p w14:paraId="700B6DF1" w14:textId="60088D88" w:rsidR="000E6A58" w:rsidRPr="00D92989" w:rsidRDefault="00D92989" w:rsidP="00D92989">
      <w:pPr>
        <w:pStyle w:val="SingleTxtG"/>
        <w:ind w:firstLine="567"/>
      </w:pPr>
      <w:r w:rsidRPr="00D92989">
        <w:rPr>
          <w:w w:val="99"/>
          <w:lang w:val="en-US"/>
        </w:rPr>
        <w:t>2.</w:t>
      </w:r>
      <w:r w:rsidRPr="00D92989">
        <w:rPr>
          <w:w w:val="99"/>
          <w:lang w:val="en-US"/>
        </w:rPr>
        <w:tab/>
      </w:r>
      <w:r w:rsidR="000E6A58" w:rsidRPr="00D92989">
        <w:rPr>
          <w:i/>
        </w:rPr>
        <w:t xml:space="preserve">Urges </w:t>
      </w:r>
      <w:r w:rsidR="000E6A58" w:rsidRPr="00D92989">
        <w:t>all parties to armed conflicts</w:t>
      </w:r>
      <w:r w:rsidR="00654E6C">
        <w:t>,</w:t>
      </w:r>
      <w:r w:rsidR="000E6A58" w:rsidRPr="00D92989">
        <w:t xml:space="preserve"> whether international or non-international</w:t>
      </w:r>
      <w:r w:rsidR="00654E6C">
        <w:t>,</w:t>
      </w:r>
      <w:r w:rsidR="000E6A58" w:rsidRPr="00D92989">
        <w:t xml:space="preserve"> to refrain from any unlawful military use or targeting of cultural property, in full conformity with their obligations under international humanitarian law;</w:t>
      </w:r>
    </w:p>
    <w:p w14:paraId="7D00F27D" w14:textId="33D40E79" w:rsidR="000E6A58" w:rsidRPr="00D92989" w:rsidRDefault="00D92989" w:rsidP="00D92989">
      <w:pPr>
        <w:pStyle w:val="SingleTxtG"/>
        <w:ind w:firstLine="567"/>
      </w:pPr>
      <w:r w:rsidRPr="00D92989">
        <w:rPr>
          <w:w w:val="99"/>
          <w:lang w:val="en-US"/>
        </w:rPr>
        <w:t>3.</w:t>
      </w:r>
      <w:r w:rsidRPr="00D92989">
        <w:rPr>
          <w:w w:val="99"/>
          <w:lang w:val="en-US"/>
        </w:rPr>
        <w:tab/>
      </w:r>
      <w:r w:rsidR="000E6A58" w:rsidRPr="00D92989">
        <w:rPr>
          <w:i/>
        </w:rPr>
        <w:t xml:space="preserve">Encourages </w:t>
      </w:r>
      <w:r w:rsidR="000E6A58" w:rsidRPr="00D92989">
        <w:t>States that have not yet become a party to relevant treaties that provide for the protection of tangible and intangible cultural heritage to consider doing so;</w:t>
      </w:r>
    </w:p>
    <w:p w14:paraId="28638FA9" w14:textId="10329FCB" w:rsidR="000E6A58" w:rsidRPr="00D92989" w:rsidRDefault="00D92989" w:rsidP="00D92989">
      <w:pPr>
        <w:pStyle w:val="SingleTxtG"/>
        <w:ind w:firstLine="567"/>
      </w:pPr>
      <w:r w:rsidRPr="00D92989">
        <w:rPr>
          <w:w w:val="99"/>
          <w:lang w:val="en-US"/>
        </w:rPr>
        <w:t>4.</w:t>
      </w:r>
      <w:r w:rsidRPr="00D92989">
        <w:rPr>
          <w:w w:val="99"/>
          <w:lang w:val="en-US"/>
        </w:rPr>
        <w:tab/>
      </w:r>
      <w:r w:rsidR="000E6A58" w:rsidRPr="00D92989">
        <w:rPr>
          <w:i/>
        </w:rPr>
        <w:t xml:space="preserve">Calls </w:t>
      </w:r>
      <w:r w:rsidR="000E6A58" w:rsidRPr="00F533F0">
        <w:rPr>
          <w:i/>
          <w:iCs/>
        </w:rPr>
        <w:t>for</w:t>
      </w:r>
      <w:r w:rsidR="000E6A58" w:rsidRPr="00D92989">
        <w:t xml:space="preserve"> enhanced international cooperation in preventing and combating the organized looting, smuggling and theft of and illicit trafficking in cultural objects and in restoring stolen, looted or trafficked cultural property to its country of origin, and invites States to take measures </w:t>
      </w:r>
      <w:r w:rsidR="00654E6C" w:rsidRPr="00D92989">
        <w:t xml:space="preserve">in this regard </w:t>
      </w:r>
      <w:r w:rsidR="000E6A58" w:rsidRPr="00D92989">
        <w:t>at the national level to make effective use to this end of relevant tools and databases developed under the auspices of the United Nations Educational, Scientific and Cultural Organization, the United Nations Office on Drugs and Crime, the International Criminal Police Organization and the World Customs Organization, within the scope of their respective</w:t>
      </w:r>
      <w:r w:rsidR="000E6A58" w:rsidRPr="00D92989">
        <w:rPr>
          <w:spacing w:val="2"/>
        </w:rPr>
        <w:t xml:space="preserve"> </w:t>
      </w:r>
      <w:r w:rsidR="000E6A58" w:rsidRPr="00D92989">
        <w:t>mandates;</w:t>
      </w:r>
    </w:p>
    <w:p w14:paraId="0E8B1B24" w14:textId="173F7427" w:rsidR="000E6A58" w:rsidRPr="00D92989" w:rsidRDefault="00D92989" w:rsidP="00D92989">
      <w:pPr>
        <w:pStyle w:val="SingleTxtG"/>
        <w:ind w:firstLine="567"/>
      </w:pPr>
      <w:r w:rsidRPr="00D92989">
        <w:rPr>
          <w:w w:val="99"/>
          <w:lang w:val="en-US"/>
        </w:rPr>
        <w:t>5.</w:t>
      </w:r>
      <w:r w:rsidRPr="00D92989">
        <w:rPr>
          <w:w w:val="99"/>
          <w:lang w:val="en-US"/>
        </w:rPr>
        <w:tab/>
      </w:r>
      <w:r w:rsidR="000E6A58" w:rsidRPr="00D92989">
        <w:rPr>
          <w:i/>
        </w:rPr>
        <w:t xml:space="preserve">Encourages </w:t>
      </w:r>
      <w:r w:rsidR="000E6A58" w:rsidRPr="00D92989">
        <w:t>the strengthening of dialogue and cooperation between relevant international organizations and States affected by the organized looting, theft and smuggling of and illicit trafficking in cultural property, including through the provision of support and technical assistance aimed at enhancing their national capacities to restore, protect and preserve cultural heritage and</w:t>
      </w:r>
      <w:r w:rsidR="000E6A58" w:rsidRPr="00D92989">
        <w:rPr>
          <w:spacing w:val="2"/>
        </w:rPr>
        <w:t xml:space="preserve"> </w:t>
      </w:r>
      <w:r w:rsidR="000E6A58" w:rsidRPr="00D92989">
        <w:t>property;</w:t>
      </w:r>
    </w:p>
    <w:p w14:paraId="099CF844" w14:textId="4F1EB3C3" w:rsidR="000E6A58" w:rsidRPr="00D92989" w:rsidRDefault="00D92989" w:rsidP="00D92989">
      <w:pPr>
        <w:pStyle w:val="SingleTxtG"/>
        <w:ind w:firstLine="567"/>
      </w:pPr>
      <w:r w:rsidRPr="00D92989">
        <w:rPr>
          <w:w w:val="99"/>
          <w:lang w:val="en-US"/>
        </w:rPr>
        <w:t>6.</w:t>
      </w:r>
      <w:r w:rsidRPr="00D92989">
        <w:rPr>
          <w:w w:val="99"/>
          <w:lang w:val="en-US"/>
        </w:rPr>
        <w:tab/>
      </w:r>
      <w:r w:rsidR="000E6A58" w:rsidRPr="00D92989">
        <w:rPr>
          <w:i/>
        </w:rPr>
        <w:t xml:space="preserve">Calls </w:t>
      </w:r>
      <w:r w:rsidR="000E6A58" w:rsidRPr="00F533F0">
        <w:rPr>
          <w:i/>
        </w:rPr>
        <w:t>for</w:t>
      </w:r>
      <w:r w:rsidR="000E6A58" w:rsidRPr="00D92989">
        <w:rPr>
          <w:i/>
        </w:rPr>
        <w:t xml:space="preserve"> </w:t>
      </w:r>
      <w:r w:rsidR="000E6A58" w:rsidRPr="00D92989">
        <w:t>the development of partnerships between competent national authorities and civil society, in particular grass-roots institutions, with the aim of creating a safe and enabling environment to enhance the protection of cultural rights and to promote the right of everyone to take part in cultural life, including the ability to access and enjoy cultural</w:t>
      </w:r>
      <w:r w:rsidR="000E6A58" w:rsidRPr="00D92989">
        <w:rPr>
          <w:spacing w:val="-1"/>
        </w:rPr>
        <w:t xml:space="preserve"> </w:t>
      </w:r>
      <w:r w:rsidR="000E6A58" w:rsidRPr="00D92989">
        <w:t>heritage in all its aspects;</w:t>
      </w:r>
    </w:p>
    <w:p w14:paraId="65ED076B" w14:textId="0ED8F944" w:rsidR="000E6A58" w:rsidRPr="00D92989" w:rsidRDefault="00D92989" w:rsidP="00D92989">
      <w:pPr>
        <w:pStyle w:val="SingleTxtG"/>
        <w:ind w:firstLine="567"/>
      </w:pPr>
      <w:r w:rsidRPr="00D92989">
        <w:rPr>
          <w:w w:val="99"/>
          <w:lang w:val="en-US"/>
        </w:rPr>
        <w:t>7.</w:t>
      </w:r>
      <w:r w:rsidRPr="00D92989">
        <w:rPr>
          <w:w w:val="99"/>
          <w:lang w:val="en-US"/>
        </w:rPr>
        <w:tab/>
      </w:r>
      <w:r w:rsidR="000E6A58" w:rsidRPr="00D92989">
        <w:rPr>
          <w:i/>
        </w:rPr>
        <w:t xml:space="preserve">Encourages </w:t>
      </w:r>
      <w:r w:rsidR="00BF5285">
        <w:t>S</w:t>
      </w:r>
      <w:r w:rsidR="000E6A58" w:rsidRPr="00D92989">
        <w:t xml:space="preserve">tates to work on </w:t>
      </w:r>
      <w:bookmarkStart w:id="2" w:name="OLE_LINK29"/>
      <w:bookmarkStart w:id="3" w:name="OLE_LINK30"/>
      <w:r w:rsidR="000E6A58" w:rsidRPr="00D92989">
        <w:t>strengthening the incorporation of cultural diversity and aspects related to cultural rights</w:t>
      </w:r>
      <w:bookmarkEnd w:id="2"/>
      <w:bookmarkEnd w:id="3"/>
      <w:r w:rsidR="000E6A58" w:rsidRPr="00D92989">
        <w:t xml:space="preserve"> in the implementation of their strategies for the 2030 Agenda</w:t>
      </w:r>
      <w:r w:rsidR="00654E6C">
        <w:t xml:space="preserve"> for Sustainable Development</w:t>
      </w:r>
      <w:r w:rsidR="000E6A58" w:rsidRPr="00D92989">
        <w:t>, particularly th</w:t>
      </w:r>
      <w:r w:rsidR="009E22BC">
        <w:t>e</w:t>
      </w:r>
      <w:r w:rsidR="000E6A58" w:rsidRPr="00D92989">
        <w:t xml:space="preserve"> </w:t>
      </w:r>
      <w:r w:rsidR="00BF5285">
        <w:t>Sustainable Development Goal</w:t>
      </w:r>
      <w:r w:rsidR="00BF5285" w:rsidRPr="00D92989">
        <w:t xml:space="preserve"> </w:t>
      </w:r>
      <w:r w:rsidR="000E6A58" w:rsidRPr="00D92989">
        <w:t xml:space="preserve">targets </w:t>
      </w:r>
      <w:r w:rsidR="00654E6C">
        <w:t>that</w:t>
      </w:r>
      <w:r w:rsidR="00654E6C" w:rsidRPr="00D92989">
        <w:t xml:space="preserve"> </w:t>
      </w:r>
      <w:r w:rsidR="000E6A58" w:rsidRPr="00D92989">
        <w:t xml:space="preserve">explicitly </w:t>
      </w:r>
      <w:r w:rsidR="00654E6C">
        <w:t xml:space="preserve">relate </w:t>
      </w:r>
      <w:r w:rsidR="000E6A58" w:rsidRPr="00D92989">
        <w:t xml:space="preserve">to cultural rights that </w:t>
      </w:r>
      <w:r w:rsidR="00654E6C" w:rsidRPr="00D92989">
        <w:t xml:space="preserve">already </w:t>
      </w:r>
      <w:r w:rsidR="000E6A58" w:rsidRPr="00D92989">
        <w:t>exist;</w:t>
      </w:r>
    </w:p>
    <w:p w14:paraId="51426EFC" w14:textId="75AC9F8E" w:rsidR="000E6A58" w:rsidRPr="00D92989" w:rsidRDefault="00D92989" w:rsidP="00D92989">
      <w:pPr>
        <w:pStyle w:val="SingleTxtG"/>
        <w:ind w:firstLine="567"/>
      </w:pPr>
      <w:r w:rsidRPr="00D92989">
        <w:rPr>
          <w:w w:val="99"/>
          <w:lang w:val="en-US"/>
        </w:rPr>
        <w:t>8.</w:t>
      </w:r>
      <w:r w:rsidRPr="00D92989">
        <w:rPr>
          <w:w w:val="99"/>
          <w:lang w:val="en-US"/>
        </w:rPr>
        <w:tab/>
      </w:r>
      <w:r w:rsidR="00BF5285">
        <w:rPr>
          <w:i/>
        </w:rPr>
        <w:t>C</w:t>
      </w:r>
      <w:r w:rsidR="000E6A58" w:rsidRPr="00D92989">
        <w:rPr>
          <w:i/>
        </w:rPr>
        <w:t xml:space="preserve">alls </w:t>
      </w:r>
      <w:r w:rsidR="000E6A58" w:rsidRPr="00F533F0">
        <w:rPr>
          <w:i/>
        </w:rPr>
        <w:t>for</w:t>
      </w:r>
      <w:r w:rsidR="000E6A58" w:rsidRPr="00D92989">
        <w:rPr>
          <w:i/>
        </w:rPr>
        <w:t xml:space="preserve"> </w:t>
      </w:r>
      <w:r w:rsidR="000E6A58" w:rsidRPr="00D92989">
        <w:t>the identification of innovative ways and best practices, at the national, regional and international levels, for the prevention of violations and abuses of cultural rights, and for participatory and inclusive approaches to the prevention and mitigation of damage caused to cultural heritage, both tangible and</w:t>
      </w:r>
      <w:r w:rsidR="000E6A58" w:rsidRPr="00D92989">
        <w:rPr>
          <w:spacing w:val="-1"/>
        </w:rPr>
        <w:t xml:space="preserve"> </w:t>
      </w:r>
      <w:r w:rsidR="000E6A58" w:rsidRPr="00D92989">
        <w:t>intangible;</w:t>
      </w:r>
    </w:p>
    <w:p w14:paraId="7CA88E96" w14:textId="7A72010B" w:rsidR="000E6A58" w:rsidRPr="00D92989" w:rsidRDefault="00D92989" w:rsidP="00D92989">
      <w:pPr>
        <w:pStyle w:val="SingleTxtG"/>
        <w:ind w:firstLine="567"/>
      </w:pPr>
      <w:r w:rsidRPr="00D92989">
        <w:rPr>
          <w:w w:val="99"/>
          <w:lang w:val="en-US"/>
        </w:rPr>
        <w:t>9.</w:t>
      </w:r>
      <w:r w:rsidRPr="00D92989">
        <w:rPr>
          <w:w w:val="99"/>
          <w:lang w:val="en-US"/>
        </w:rPr>
        <w:tab/>
      </w:r>
      <w:r w:rsidR="00BF5285">
        <w:rPr>
          <w:i/>
        </w:rPr>
        <w:t>Also</w:t>
      </w:r>
      <w:r w:rsidR="00BF5285" w:rsidRPr="00D92989">
        <w:rPr>
          <w:i/>
        </w:rPr>
        <w:t xml:space="preserve"> </w:t>
      </w:r>
      <w:r w:rsidR="000E6A58" w:rsidRPr="00D92989">
        <w:rPr>
          <w:i/>
        </w:rPr>
        <w:t xml:space="preserve">calls </w:t>
      </w:r>
      <w:r w:rsidR="000E6A58" w:rsidRPr="00F533F0">
        <w:rPr>
          <w:i/>
        </w:rPr>
        <w:t>for</w:t>
      </w:r>
      <w:r w:rsidR="000E6A58" w:rsidRPr="00D92989">
        <w:rPr>
          <w:i/>
        </w:rPr>
        <w:t xml:space="preserve"> </w:t>
      </w:r>
      <w:r w:rsidR="000E6A58" w:rsidRPr="00D92989">
        <w:t>the recognition of the protection of cultural heritage as an important component of humanitarian assistance, including in armed conflict and with regard also to displaced populations and for enhanced cooperation between the Office of the United Nations High Commissioner for Human Rights, the mandate of the Special Rapporteur in the field of cultural rights, the United Nations Educational, Scientific and Cultural Organization and other relevant agencies and stakeholders, with a view to mainstreaming the protection of cultural heritage into humanitarian actions, security strategies and peacebuilding processes, and in post-conflict reconciliation</w:t>
      </w:r>
      <w:r w:rsidR="000E6A58" w:rsidRPr="00D92989">
        <w:rPr>
          <w:spacing w:val="-10"/>
        </w:rPr>
        <w:t xml:space="preserve"> </w:t>
      </w:r>
      <w:r w:rsidR="000E6A58" w:rsidRPr="00D92989">
        <w:t>initiatives;</w:t>
      </w:r>
    </w:p>
    <w:p w14:paraId="697316E9" w14:textId="029F09F2" w:rsidR="000E6A58" w:rsidRPr="00D92989" w:rsidRDefault="00D92989" w:rsidP="00D92989">
      <w:pPr>
        <w:pStyle w:val="SingleTxtG"/>
        <w:ind w:firstLine="567"/>
      </w:pPr>
      <w:r w:rsidRPr="00D92989">
        <w:rPr>
          <w:w w:val="99"/>
          <w:lang w:val="en-US"/>
        </w:rPr>
        <w:t>10.</w:t>
      </w:r>
      <w:r w:rsidRPr="00D92989">
        <w:rPr>
          <w:w w:val="99"/>
          <w:lang w:val="en-US"/>
        </w:rPr>
        <w:tab/>
      </w:r>
      <w:r w:rsidR="000E6A58" w:rsidRPr="00D92989">
        <w:rPr>
          <w:i/>
        </w:rPr>
        <w:t xml:space="preserve">Encourages </w:t>
      </w:r>
      <w:r w:rsidR="000E6A58" w:rsidRPr="00D92989">
        <w:t xml:space="preserve">States to adopt a gender-sensitive and inclusive approach to the protection of cultural heritage and the safeguarding of cultural rights that is respectful of cultural diversity and includes consideration of </w:t>
      </w:r>
      <w:r w:rsidR="0070446A">
        <w:t xml:space="preserve">the </w:t>
      </w:r>
      <w:r w:rsidR="000E6A58" w:rsidRPr="00D92989">
        <w:t>human rights issues of persons belonging to national or ethnic, religious and linguistic minorities, as set out in the Declaration on the Rights of Persons Belonging to National or Ethnic, Religious and Linguistic Minorities</w:t>
      </w:r>
      <w:r w:rsidR="0070446A">
        <w:t>,</w:t>
      </w:r>
      <w:r w:rsidR="000E6A58" w:rsidRPr="00D92989">
        <w:t xml:space="preserve"> and </w:t>
      </w:r>
      <w:r w:rsidR="0070446A">
        <w:t xml:space="preserve">of </w:t>
      </w:r>
      <w:r w:rsidR="000E6A58" w:rsidRPr="00D92989">
        <w:t>indigenous</w:t>
      </w:r>
      <w:r w:rsidR="000E6A58" w:rsidRPr="00D92989">
        <w:rPr>
          <w:spacing w:val="-2"/>
        </w:rPr>
        <w:t xml:space="preserve"> </w:t>
      </w:r>
      <w:r w:rsidR="000E6A58" w:rsidRPr="00D92989">
        <w:t>peoples, as set out in the United Nations Declaration on the Rights of Indigenous Peoples;</w:t>
      </w:r>
    </w:p>
    <w:p w14:paraId="7F42E3C0" w14:textId="2A4D41A3" w:rsidR="000E6A58" w:rsidRPr="00D92989" w:rsidRDefault="00D92989" w:rsidP="00D92989">
      <w:pPr>
        <w:pStyle w:val="SingleTxtG"/>
        <w:ind w:firstLine="567"/>
      </w:pPr>
      <w:r w:rsidRPr="00D92989">
        <w:rPr>
          <w:w w:val="99"/>
          <w:lang w:val="en-US"/>
        </w:rPr>
        <w:t>11.</w:t>
      </w:r>
      <w:r w:rsidRPr="00D92989">
        <w:rPr>
          <w:w w:val="99"/>
          <w:lang w:val="en-US"/>
        </w:rPr>
        <w:tab/>
      </w:r>
      <w:r w:rsidR="00BF5285">
        <w:rPr>
          <w:i/>
          <w:iCs/>
        </w:rPr>
        <w:t>Also e</w:t>
      </w:r>
      <w:r w:rsidR="000E6A58" w:rsidRPr="00D92989">
        <w:rPr>
          <w:i/>
          <w:iCs/>
        </w:rPr>
        <w:t>ncourages</w:t>
      </w:r>
      <w:r w:rsidR="000E6A58" w:rsidRPr="00D92989">
        <w:t xml:space="preserve"> States to safeguard the diversity of cultural expressions, to promote intercultural and intracultural dialogue and to support traditional practices and creative productions of indigenous</w:t>
      </w:r>
      <w:r w:rsidR="000E6A58" w:rsidRPr="00D92989">
        <w:rPr>
          <w:b/>
          <w:bCs/>
        </w:rPr>
        <w:t xml:space="preserve"> </w:t>
      </w:r>
      <w:r w:rsidR="000E6A58" w:rsidRPr="00D92989">
        <w:t>peoples and/or minority communities;</w:t>
      </w:r>
    </w:p>
    <w:p w14:paraId="4428274C" w14:textId="6230DA16" w:rsidR="000E6A58" w:rsidRPr="00D92989" w:rsidRDefault="00D92989" w:rsidP="00D92989">
      <w:pPr>
        <w:pStyle w:val="SingleTxtG"/>
        <w:ind w:firstLine="567"/>
      </w:pPr>
      <w:r w:rsidRPr="00D92989">
        <w:rPr>
          <w:w w:val="99"/>
          <w:lang w:val="en-US"/>
        </w:rPr>
        <w:t>12.</w:t>
      </w:r>
      <w:r w:rsidRPr="00D92989">
        <w:rPr>
          <w:w w:val="99"/>
          <w:lang w:val="en-US"/>
        </w:rPr>
        <w:tab/>
      </w:r>
      <w:r w:rsidR="000E6A58" w:rsidRPr="00D92989">
        <w:rPr>
          <w:i/>
        </w:rPr>
        <w:t xml:space="preserve">Calls </w:t>
      </w:r>
      <w:r w:rsidR="000E6A58" w:rsidRPr="00F533F0">
        <w:rPr>
          <w:i/>
        </w:rPr>
        <w:t>for</w:t>
      </w:r>
      <w:r w:rsidR="000E6A58" w:rsidRPr="00D92989">
        <w:rPr>
          <w:i/>
        </w:rPr>
        <w:t xml:space="preserve"> </w:t>
      </w:r>
      <w:r w:rsidR="000E6A58" w:rsidRPr="00D92989">
        <w:t>the safety and security of cultural rights defenders involved in the protection of cultural heritage to be protected, including by investigating and, where appropriate, bringing to justice anyone alleged to have harmed</w:t>
      </w:r>
      <w:r w:rsidR="000E6A58" w:rsidRPr="00D92989">
        <w:rPr>
          <w:spacing w:val="-2"/>
        </w:rPr>
        <w:t xml:space="preserve"> </w:t>
      </w:r>
      <w:r w:rsidR="000E6A58" w:rsidRPr="00D92989">
        <w:t>them;</w:t>
      </w:r>
    </w:p>
    <w:p w14:paraId="537873D6" w14:textId="3BEBD6BD" w:rsidR="000E6A58" w:rsidRPr="00D92989" w:rsidRDefault="00D92989" w:rsidP="00D92989">
      <w:pPr>
        <w:pStyle w:val="SingleTxtG"/>
        <w:ind w:firstLine="567"/>
      </w:pPr>
      <w:r w:rsidRPr="00D92989">
        <w:rPr>
          <w:w w:val="99"/>
          <w:lang w:val="en-US"/>
        </w:rPr>
        <w:t>13.</w:t>
      </w:r>
      <w:r w:rsidRPr="00D92989">
        <w:rPr>
          <w:w w:val="99"/>
          <w:lang w:val="en-US"/>
        </w:rPr>
        <w:tab/>
      </w:r>
      <w:r w:rsidR="000E6A58" w:rsidRPr="00D92989">
        <w:rPr>
          <w:i/>
        </w:rPr>
        <w:t xml:space="preserve">Invites </w:t>
      </w:r>
      <w:r w:rsidR="000E6A58" w:rsidRPr="00D92989">
        <w:t>States to adopt effective strategies to prevent the destruction of cultural heritage by, inter alia, ensuring accountability, establishing and/or maintaining inventories documenting the cultural heritage within their jurisdiction, including through digital means, implementing educational programmes on the importance of cultural heritage and cultural rights</w:t>
      </w:r>
      <w:r w:rsidR="004F2DE6">
        <w:t>,</w:t>
      </w:r>
      <w:r w:rsidR="000E6A58" w:rsidRPr="00D92989">
        <w:t xml:space="preserve"> training military forces and humanitarian actors and other relevant stakeholders in all applicable rules concerning the protection of cultural heritage, both during and in the aftermath of armed</w:t>
      </w:r>
      <w:r w:rsidR="000E6A58" w:rsidRPr="00D92989">
        <w:rPr>
          <w:spacing w:val="-8"/>
        </w:rPr>
        <w:t xml:space="preserve"> </w:t>
      </w:r>
      <w:r w:rsidR="000E6A58" w:rsidRPr="00D92989">
        <w:t>conflict, and developing preparatory measures and risk preparedness plans during peacetime in order to ensure that there are procedures and processes in place to mitigate against the destruction of cultural heritage;</w:t>
      </w:r>
    </w:p>
    <w:p w14:paraId="4F00C1CB" w14:textId="633CA061" w:rsidR="000E6A58" w:rsidRPr="00D92989" w:rsidRDefault="00D92989" w:rsidP="00D92989">
      <w:pPr>
        <w:pStyle w:val="SingleTxtG"/>
        <w:ind w:firstLine="567"/>
      </w:pPr>
      <w:r w:rsidRPr="00D92989">
        <w:rPr>
          <w:w w:val="99"/>
          <w:lang w:val="en-US"/>
        </w:rPr>
        <w:t>14.</w:t>
      </w:r>
      <w:r w:rsidRPr="00D92989">
        <w:rPr>
          <w:w w:val="99"/>
          <w:lang w:val="en-US"/>
        </w:rPr>
        <w:tab/>
      </w:r>
      <w:r w:rsidR="000E6A58" w:rsidRPr="00D92989">
        <w:rPr>
          <w:i/>
        </w:rPr>
        <w:t xml:space="preserve">Encourages </w:t>
      </w:r>
      <w:r w:rsidR="000E6A58" w:rsidRPr="00D92989">
        <w:t>States to address limitations of cultural rights, to take the measures necessary to prevent the destruction of historic monuments, works of art or places of worship that constitute the cultural or spiritual heritage of peoples, both in conflict and non-conflict situations, and to promote respect for cultural</w:t>
      </w:r>
      <w:r w:rsidR="000E6A58" w:rsidRPr="00D92989">
        <w:rPr>
          <w:spacing w:val="-2"/>
        </w:rPr>
        <w:t xml:space="preserve"> </w:t>
      </w:r>
      <w:r w:rsidR="000E6A58" w:rsidRPr="00D92989">
        <w:t>diversity;</w:t>
      </w:r>
    </w:p>
    <w:p w14:paraId="6B17558C" w14:textId="4C359B10" w:rsidR="000E6A58" w:rsidRPr="00D92989" w:rsidRDefault="00D92989" w:rsidP="00D92989">
      <w:pPr>
        <w:pStyle w:val="SingleTxtG"/>
        <w:ind w:firstLine="567"/>
      </w:pPr>
      <w:r w:rsidRPr="00D92989">
        <w:rPr>
          <w:w w:val="99"/>
          <w:lang w:val="en-US"/>
        </w:rPr>
        <w:t>15.</w:t>
      </w:r>
      <w:r w:rsidRPr="00D92989">
        <w:rPr>
          <w:w w:val="99"/>
          <w:lang w:val="en-US"/>
        </w:rPr>
        <w:tab/>
      </w:r>
      <w:r w:rsidR="00BF5285">
        <w:rPr>
          <w:i/>
        </w:rPr>
        <w:t>E</w:t>
      </w:r>
      <w:r w:rsidR="000E6A58" w:rsidRPr="00D92989">
        <w:rPr>
          <w:i/>
        </w:rPr>
        <w:t xml:space="preserve">ncourages </w:t>
      </w:r>
      <w:r w:rsidR="000E6A58" w:rsidRPr="00D92989">
        <w:t>States, the international community, the United Nations and civil society to consider implementing the relevant recommendations contained in the report of the High Commissioner on the intersessional workshop on cultural rights and the protection of cultural heritage,</w:t>
      </w:r>
      <w:r w:rsidR="000E6A58" w:rsidRPr="003D1D03">
        <w:rPr>
          <w:rStyle w:val="FootnoteReference"/>
          <w:szCs w:val="18"/>
        </w:rPr>
        <w:footnoteReference w:id="5"/>
      </w:r>
      <w:r w:rsidR="000E6A58" w:rsidRPr="00D92989">
        <w:rPr>
          <w:position w:val="6"/>
        </w:rPr>
        <w:t xml:space="preserve"> </w:t>
      </w:r>
      <w:r w:rsidR="000E6A58" w:rsidRPr="00D92989">
        <w:t xml:space="preserve">as well as those made </w:t>
      </w:r>
      <w:r w:rsidR="000E6A58" w:rsidRPr="00D92989">
        <w:rPr>
          <w:spacing w:val="2"/>
        </w:rPr>
        <w:t xml:space="preserve">by </w:t>
      </w:r>
      <w:r w:rsidR="000E6A58" w:rsidRPr="00D92989">
        <w:t>the Special Rapporteur in the</w:t>
      </w:r>
      <w:r w:rsidR="000E6A58" w:rsidRPr="00D92989">
        <w:rPr>
          <w:spacing w:val="9"/>
        </w:rPr>
        <w:t xml:space="preserve"> </w:t>
      </w:r>
      <w:r w:rsidR="000E6A58" w:rsidRPr="00D92989">
        <w:t xml:space="preserve">field </w:t>
      </w:r>
      <w:r w:rsidR="000E6A58" w:rsidRPr="00D92989">
        <w:rPr>
          <w:color w:val="000000"/>
          <w:lang w:bidi="en-US"/>
        </w:rPr>
        <w:t>of cultural rights in her relevant reports presented to the Human Rights Council and to the General Assembly;</w:t>
      </w:r>
      <w:r w:rsidR="000E6A58" w:rsidRPr="00D92989">
        <w:rPr>
          <w:vertAlign w:val="superscript"/>
          <w:lang w:bidi="en-US"/>
        </w:rPr>
        <w:footnoteReference w:id="6"/>
      </w:r>
    </w:p>
    <w:p w14:paraId="7939BCAA" w14:textId="2965B8E5" w:rsidR="000E6A58" w:rsidRPr="00D92989" w:rsidRDefault="00D92989" w:rsidP="00D92989">
      <w:pPr>
        <w:pStyle w:val="SingleTxtG"/>
        <w:ind w:firstLine="567"/>
      </w:pPr>
      <w:r w:rsidRPr="00D92989">
        <w:rPr>
          <w:w w:val="99"/>
          <w:lang w:val="en-US"/>
        </w:rPr>
        <w:t>16.</w:t>
      </w:r>
      <w:r w:rsidRPr="00D92989">
        <w:rPr>
          <w:w w:val="99"/>
          <w:lang w:val="en-US"/>
        </w:rPr>
        <w:tab/>
      </w:r>
      <w:r w:rsidR="000E6A58" w:rsidRPr="00D92989">
        <w:rPr>
          <w:i/>
          <w:iCs/>
          <w:color w:val="000000"/>
          <w:lang w:bidi="en-US"/>
        </w:rPr>
        <w:t>Requests</w:t>
      </w:r>
      <w:r w:rsidR="000E6A58" w:rsidRPr="00D92989">
        <w:rPr>
          <w:color w:val="000000"/>
          <w:lang w:bidi="en-US"/>
        </w:rPr>
        <w:t xml:space="preserve"> the High Commissioner</w:t>
      </w:r>
      <w:r w:rsidR="00BF5285">
        <w:rPr>
          <w:color w:val="000000"/>
          <w:lang w:bidi="en-US"/>
        </w:rPr>
        <w:t>,</w:t>
      </w:r>
      <w:r w:rsidR="000E6A58" w:rsidRPr="00D92989">
        <w:rPr>
          <w:color w:val="000000"/>
          <w:lang w:bidi="en-US"/>
        </w:rPr>
        <w:t xml:space="preserve"> in consultation</w:t>
      </w:r>
      <w:r w:rsidR="000E6A58" w:rsidRPr="00D92989">
        <w:rPr>
          <w:b/>
          <w:bCs/>
          <w:color w:val="000000"/>
          <w:lang w:bidi="en-US"/>
        </w:rPr>
        <w:t xml:space="preserve"> </w:t>
      </w:r>
      <w:r w:rsidR="000E6A58" w:rsidRPr="00D92989">
        <w:rPr>
          <w:color w:val="000000"/>
          <w:lang w:bidi="en-US"/>
        </w:rPr>
        <w:t xml:space="preserve">with the United Nations Educational, Scientific and Cultural Organization and the Special Rapporteur in the field of </w:t>
      </w:r>
      <w:r w:rsidR="00F533F0">
        <w:rPr>
          <w:color w:val="000000"/>
          <w:lang w:bidi="en-US"/>
        </w:rPr>
        <w:t>c</w:t>
      </w:r>
      <w:r w:rsidR="000E6A58" w:rsidRPr="00D92989">
        <w:rPr>
          <w:color w:val="000000"/>
          <w:lang w:bidi="en-US"/>
        </w:rPr>
        <w:t xml:space="preserve">ultural </w:t>
      </w:r>
      <w:r w:rsidR="00F533F0">
        <w:rPr>
          <w:color w:val="000000"/>
          <w:lang w:bidi="en-US"/>
        </w:rPr>
        <w:t>r</w:t>
      </w:r>
      <w:r w:rsidR="000E6A58" w:rsidRPr="00D92989">
        <w:rPr>
          <w:color w:val="000000"/>
          <w:lang w:bidi="en-US"/>
        </w:rPr>
        <w:t>ights:</w:t>
      </w:r>
    </w:p>
    <w:p w14:paraId="3707B9AC" w14:textId="210BFA7D" w:rsidR="000E6A58" w:rsidRPr="00064D0E" w:rsidRDefault="000E6A58" w:rsidP="00D92989">
      <w:pPr>
        <w:pStyle w:val="SingleTxtG"/>
        <w:ind w:firstLine="567"/>
        <w:rPr>
          <w:color w:val="000000"/>
          <w:lang w:bidi="en-US"/>
        </w:rPr>
      </w:pPr>
      <w:r w:rsidRPr="00F102CC">
        <w:rPr>
          <w:color w:val="000000"/>
          <w:lang w:bidi="en-US"/>
        </w:rPr>
        <w:t>(a)</w:t>
      </w:r>
      <w:r w:rsidR="00A64D50">
        <w:rPr>
          <w:color w:val="000000"/>
          <w:lang w:bidi="en-US"/>
        </w:rPr>
        <w:tab/>
      </w:r>
      <w:r w:rsidR="00BF5285">
        <w:rPr>
          <w:color w:val="000000"/>
          <w:lang w:bidi="en-US"/>
        </w:rPr>
        <w:t>T</w:t>
      </w:r>
      <w:r w:rsidR="00BF5285" w:rsidRPr="00D92989">
        <w:rPr>
          <w:color w:val="000000"/>
          <w:lang w:bidi="en-US"/>
        </w:rPr>
        <w:t>o</w:t>
      </w:r>
      <w:r w:rsidR="00BF5285" w:rsidRPr="00B5282B">
        <w:rPr>
          <w:color w:val="000000"/>
          <w:lang w:bidi="en-US"/>
        </w:rPr>
        <w:t xml:space="preserve"> </w:t>
      </w:r>
      <w:r w:rsidR="00BF5285">
        <w:rPr>
          <w:color w:val="000000"/>
          <w:lang w:bidi="en-US"/>
        </w:rPr>
        <w:t>f</w:t>
      </w:r>
      <w:r w:rsidRPr="00B5282B">
        <w:rPr>
          <w:color w:val="000000"/>
          <w:lang w:bidi="en-US"/>
        </w:rPr>
        <w:t>urther refine and develop appropriate tools for the dissemination of an approach to the protection, restoration and preservation of cultural heritage that promotes universal respect for cultural rights by all</w:t>
      </w:r>
      <w:r w:rsidR="00EC1128">
        <w:rPr>
          <w:color w:val="000000"/>
          <w:lang w:bidi="en-US"/>
        </w:rPr>
        <w:t>;</w:t>
      </w:r>
    </w:p>
    <w:p w14:paraId="17417B1C" w14:textId="27A1AEF8" w:rsidR="00D92989" w:rsidRDefault="000E6A58" w:rsidP="00D92989">
      <w:pPr>
        <w:pStyle w:val="SingleTxtG"/>
        <w:ind w:firstLine="567"/>
      </w:pPr>
      <w:r>
        <w:rPr>
          <w:color w:val="000000"/>
          <w:lang w:bidi="en-US"/>
        </w:rPr>
        <w:t>(b)</w:t>
      </w:r>
      <w:r w:rsidR="00A64D50">
        <w:rPr>
          <w:color w:val="000000"/>
          <w:lang w:bidi="en-US"/>
        </w:rPr>
        <w:tab/>
      </w:r>
      <w:r w:rsidR="00BF5285">
        <w:rPr>
          <w:color w:val="000000"/>
          <w:lang w:bidi="en-US"/>
        </w:rPr>
        <w:t>To c</w:t>
      </w:r>
      <w:r w:rsidRPr="00F102CC">
        <w:rPr>
          <w:color w:val="000000"/>
          <w:lang w:bidi="en-US"/>
        </w:rPr>
        <w:t>onvene</w:t>
      </w:r>
      <w:r w:rsidR="009E22BC">
        <w:rPr>
          <w:color w:val="000000"/>
          <w:lang w:bidi="en-US"/>
        </w:rPr>
        <w:t>,</w:t>
      </w:r>
      <w:r>
        <w:rPr>
          <w:color w:val="000000"/>
          <w:lang w:bidi="en-US"/>
        </w:rPr>
        <w:t xml:space="preserve"> </w:t>
      </w:r>
      <w:r w:rsidR="009E22BC" w:rsidRPr="00F102CC">
        <w:rPr>
          <w:color w:val="000000"/>
          <w:lang w:bidi="en-US"/>
        </w:rPr>
        <w:t xml:space="preserve">before the </w:t>
      </w:r>
      <w:r w:rsidR="009E22BC">
        <w:rPr>
          <w:color w:val="000000"/>
          <w:lang w:bidi="en-US"/>
        </w:rPr>
        <w:t>fifty-fifth</w:t>
      </w:r>
      <w:r w:rsidR="009E22BC" w:rsidRPr="00F102CC">
        <w:rPr>
          <w:color w:val="000000"/>
          <w:lang w:bidi="en-US"/>
        </w:rPr>
        <w:t xml:space="preserve"> session of the Human Rights Council</w:t>
      </w:r>
      <w:r w:rsidR="009E22BC">
        <w:rPr>
          <w:color w:val="000000"/>
          <w:lang w:bidi="en-US"/>
        </w:rPr>
        <w:t xml:space="preserve">, </w:t>
      </w:r>
      <w:r>
        <w:rPr>
          <w:color w:val="000000"/>
          <w:lang w:bidi="en-US"/>
        </w:rPr>
        <w:t>a one-day workshop</w:t>
      </w:r>
      <w:r w:rsidRPr="00F102CC">
        <w:rPr>
          <w:color w:val="000000"/>
          <w:lang w:bidi="en-US"/>
        </w:rPr>
        <w:t xml:space="preserve"> </w:t>
      </w:r>
      <w:r>
        <w:rPr>
          <w:color w:val="000000"/>
          <w:lang w:bidi="en-US"/>
        </w:rPr>
        <w:t>to review and promote the</w:t>
      </w:r>
      <w:r w:rsidRPr="00F102CC">
        <w:rPr>
          <w:color w:val="000000"/>
          <w:lang w:bidi="en-US"/>
        </w:rPr>
        <w:t xml:space="preserve"> tools for the dissemination </w:t>
      </w:r>
      <w:r>
        <w:rPr>
          <w:color w:val="000000"/>
          <w:lang w:bidi="en-US"/>
        </w:rPr>
        <w:t xml:space="preserve">and possible methods of implementation </w:t>
      </w:r>
      <w:r w:rsidRPr="00F102CC">
        <w:rPr>
          <w:color w:val="000000"/>
          <w:lang w:bidi="en-US"/>
        </w:rPr>
        <w:t>of an approach to the protection, restoration and preservation of cultural heritage that promotes universal respect for cultural rights by all</w:t>
      </w:r>
      <w:r>
        <w:rPr>
          <w:color w:val="000000"/>
          <w:lang w:bidi="en-US"/>
        </w:rPr>
        <w:t xml:space="preserve">, and </w:t>
      </w:r>
      <w:r w:rsidR="009E22BC">
        <w:rPr>
          <w:color w:val="000000"/>
          <w:lang w:bidi="en-US"/>
        </w:rPr>
        <w:t xml:space="preserve">to </w:t>
      </w:r>
      <w:r>
        <w:rPr>
          <w:color w:val="000000"/>
          <w:lang w:bidi="en-US"/>
        </w:rPr>
        <w:t>make the workshop accessible to persons with disabilities</w:t>
      </w:r>
      <w:r w:rsidRPr="00F102CC">
        <w:rPr>
          <w:color w:val="000000"/>
          <w:lang w:bidi="en-US"/>
        </w:rPr>
        <w:t>;</w:t>
      </w:r>
    </w:p>
    <w:p w14:paraId="2BA2E107" w14:textId="0E61C13A" w:rsidR="00D92989" w:rsidRDefault="00D92989" w:rsidP="00D92989">
      <w:pPr>
        <w:pStyle w:val="SingleTxtG"/>
        <w:ind w:firstLine="567"/>
        <w:rPr>
          <w:color w:val="000000"/>
          <w:lang w:bidi="en-US"/>
        </w:rPr>
      </w:pPr>
      <w:r>
        <w:t>17.</w:t>
      </w:r>
      <w:r>
        <w:tab/>
      </w:r>
      <w:r w:rsidR="00B225EB">
        <w:rPr>
          <w:i/>
          <w:iCs/>
          <w:color w:val="000000"/>
          <w:lang w:bidi="en-US"/>
        </w:rPr>
        <w:t>Also</w:t>
      </w:r>
      <w:r w:rsidR="00B225EB" w:rsidRPr="00EC1128">
        <w:rPr>
          <w:i/>
          <w:iCs/>
          <w:color w:val="000000"/>
          <w:lang w:bidi="en-US"/>
        </w:rPr>
        <w:t xml:space="preserve"> </w:t>
      </w:r>
      <w:r w:rsidR="000E6A58" w:rsidRPr="00EC1128">
        <w:rPr>
          <w:i/>
          <w:iCs/>
          <w:color w:val="000000"/>
          <w:lang w:bidi="en-US"/>
        </w:rPr>
        <w:t>requests</w:t>
      </w:r>
      <w:r w:rsidR="000E6A58">
        <w:rPr>
          <w:color w:val="000000"/>
          <w:lang w:bidi="en-US"/>
        </w:rPr>
        <w:t xml:space="preserve"> the High Commissioner t</w:t>
      </w:r>
      <w:r w:rsidR="000E6A58" w:rsidRPr="003B281D">
        <w:rPr>
          <w:color w:val="000000"/>
          <w:lang w:bidi="en-US"/>
        </w:rPr>
        <w:t>o</w:t>
      </w:r>
      <w:r w:rsidR="000E6A58" w:rsidRPr="00F102CC">
        <w:rPr>
          <w:color w:val="000000"/>
          <w:lang w:bidi="en-US"/>
        </w:rPr>
        <w:t xml:space="preserve"> submit a </w:t>
      </w:r>
      <w:r w:rsidR="000E6A58" w:rsidRPr="00D92989">
        <w:rPr>
          <w:color w:val="000000"/>
          <w:lang w:val="en-US" w:bidi="en-US"/>
        </w:rPr>
        <w:t>report</w:t>
      </w:r>
      <w:r w:rsidR="000E6A58" w:rsidRPr="00F102CC">
        <w:rPr>
          <w:color w:val="000000"/>
          <w:lang w:bidi="en-US"/>
        </w:rPr>
        <w:t xml:space="preserve"> thereon to the Human Rights Council at its </w:t>
      </w:r>
      <w:r w:rsidR="000E6A58">
        <w:rPr>
          <w:color w:val="000000"/>
          <w:lang w:bidi="en-US"/>
        </w:rPr>
        <w:t>fifty-eighth</w:t>
      </w:r>
      <w:r w:rsidR="000E6A58" w:rsidRPr="00F102CC">
        <w:rPr>
          <w:color w:val="000000"/>
          <w:lang w:bidi="en-US"/>
        </w:rPr>
        <w:t xml:space="preserve"> session;</w:t>
      </w:r>
    </w:p>
    <w:p w14:paraId="6CAC2BBF" w14:textId="6A4D1A82" w:rsidR="000E6A58" w:rsidRDefault="000E6A58" w:rsidP="00D92989">
      <w:pPr>
        <w:pStyle w:val="SingleTxtG"/>
        <w:rPr>
          <w:color w:val="000000"/>
          <w:lang w:bidi="en-US"/>
        </w:rPr>
      </w:pPr>
      <w:r>
        <w:rPr>
          <w:i/>
          <w:iCs/>
          <w:color w:val="000000"/>
          <w:lang w:bidi="en-US"/>
        </w:rPr>
        <w:tab/>
      </w:r>
      <w:r w:rsidR="00D92989">
        <w:rPr>
          <w:i/>
          <w:iCs/>
          <w:color w:val="000000"/>
          <w:lang w:bidi="en-US"/>
        </w:rPr>
        <w:tab/>
      </w:r>
      <w:r w:rsidRPr="003B281D">
        <w:rPr>
          <w:color w:val="000000"/>
          <w:lang w:bidi="en-US"/>
        </w:rPr>
        <w:t>18.</w:t>
      </w:r>
      <w:r>
        <w:rPr>
          <w:i/>
          <w:iCs/>
          <w:color w:val="000000"/>
          <w:lang w:bidi="en-US"/>
        </w:rPr>
        <w:t xml:space="preserve"> </w:t>
      </w:r>
      <w:r w:rsidR="00D92989">
        <w:rPr>
          <w:i/>
          <w:iCs/>
          <w:color w:val="000000"/>
          <w:lang w:bidi="en-US"/>
        </w:rPr>
        <w:tab/>
      </w:r>
      <w:r w:rsidRPr="00F102CC">
        <w:rPr>
          <w:i/>
          <w:iCs/>
          <w:color w:val="000000"/>
          <w:lang w:bidi="en-US"/>
        </w:rPr>
        <w:t>Decides</w:t>
      </w:r>
      <w:r w:rsidRPr="00F102CC">
        <w:rPr>
          <w:color w:val="000000"/>
          <w:lang w:bidi="en-US"/>
        </w:rPr>
        <w:t xml:space="preserve"> to remain seized of the matter</w:t>
      </w:r>
      <w:r w:rsidR="00EC1128">
        <w:rPr>
          <w:color w:val="000000"/>
          <w:lang w:bidi="en-US"/>
        </w:rPr>
        <w:t>.</w:t>
      </w:r>
    </w:p>
    <w:p w14:paraId="6CC20C23" w14:textId="0DD26FBC" w:rsidR="00D92989" w:rsidRPr="00D92989" w:rsidRDefault="00D92989" w:rsidP="00D92989">
      <w:pPr>
        <w:pStyle w:val="BodyText"/>
        <w:widowControl/>
        <w:suppressAutoHyphens/>
        <w:spacing w:before="240" w:line="240" w:lineRule="atLeast"/>
        <w:ind w:left="1134" w:right="1134"/>
        <w:jc w:val="center"/>
        <w:rPr>
          <w:u w:val="single"/>
        </w:rPr>
      </w:pPr>
      <w:r>
        <w:rPr>
          <w:color w:val="000000"/>
          <w:u w:val="single"/>
          <w:lang w:bidi="en-US"/>
        </w:rPr>
        <w:tab/>
      </w:r>
      <w:r>
        <w:rPr>
          <w:color w:val="000000"/>
          <w:u w:val="single"/>
          <w:lang w:bidi="en-US"/>
        </w:rPr>
        <w:tab/>
      </w:r>
      <w:r>
        <w:rPr>
          <w:color w:val="000000"/>
          <w:u w:val="single"/>
          <w:lang w:bidi="en-US"/>
        </w:rPr>
        <w:tab/>
      </w:r>
      <w:r w:rsidR="00B816EF">
        <w:rPr>
          <w:color w:val="000000"/>
          <w:u w:val="single"/>
          <w:lang w:bidi="en-US"/>
        </w:rPr>
        <w:tab/>
      </w:r>
    </w:p>
    <w:sectPr w:rsidR="00D92989" w:rsidRPr="00D92989" w:rsidSect="00EE06CD">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4D3B" w14:textId="77777777" w:rsidR="00EE06CD" w:rsidRDefault="00EE06CD"/>
  </w:endnote>
  <w:endnote w:type="continuationSeparator" w:id="0">
    <w:p w14:paraId="690E2BF1" w14:textId="77777777" w:rsidR="00EE06CD" w:rsidRDefault="00EE06CD"/>
  </w:endnote>
  <w:endnote w:type="continuationNotice" w:id="1">
    <w:p w14:paraId="4C67B2B5" w14:textId="77777777" w:rsidR="00EE06CD" w:rsidRDefault="00EE0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1DC29A0F"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F20C6F">
      <w:rPr>
        <w:b/>
        <w:noProof/>
        <w:sz w:val="18"/>
      </w:rPr>
      <w:t>4</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171B48DE"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F20C6F">
      <w:rPr>
        <w:b/>
        <w:noProof/>
        <w:sz w:val="18"/>
      </w:rPr>
      <w:t>5</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91352" w14:textId="7B380D10" w:rsidR="00C40D23" w:rsidRDefault="00C40D23" w:rsidP="00C40D23">
    <w:pPr>
      <w:pStyle w:val="Footer"/>
    </w:pPr>
    <w:r w:rsidRPr="0027112F">
      <w:rPr>
        <w:noProof/>
        <w:lang w:val="en-US"/>
      </w:rPr>
      <w:drawing>
        <wp:anchor distT="0" distB="0" distL="114300" distR="114300" simplePos="0" relativeHeight="251659264" behindDoc="0" locked="1" layoutInCell="1" allowOverlap="1" wp14:anchorId="0004E813" wp14:editId="5747DEB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05A0CCF" w14:textId="43ED01DC" w:rsidR="00C40D23" w:rsidRPr="00C40D23" w:rsidRDefault="00C40D23" w:rsidP="00C40D23">
    <w:pPr>
      <w:pStyle w:val="Footer"/>
      <w:ind w:right="1134"/>
      <w:rPr>
        <w:sz w:val="20"/>
      </w:rPr>
    </w:pPr>
    <w:r>
      <w:rPr>
        <w:sz w:val="20"/>
      </w:rPr>
      <w:t>GE.22-04310(E)</w:t>
    </w:r>
    <w:r>
      <w:rPr>
        <w:noProof/>
        <w:sz w:val="20"/>
      </w:rPr>
      <w:drawing>
        <wp:anchor distT="0" distB="0" distL="114300" distR="114300" simplePos="0" relativeHeight="251660288" behindDoc="0" locked="0" layoutInCell="1" allowOverlap="1" wp14:anchorId="3F12C21B" wp14:editId="562A47FD">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4733E" w14:textId="77777777" w:rsidR="00EE06CD" w:rsidRPr="000B175B" w:rsidRDefault="00EE06CD" w:rsidP="000B175B">
      <w:pPr>
        <w:tabs>
          <w:tab w:val="right" w:pos="2155"/>
        </w:tabs>
        <w:spacing w:after="80"/>
        <w:ind w:left="680"/>
        <w:rPr>
          <w:u w:val="single"/>
        </w:rPr>
      </w:pPr>
      <w:r>
        <w:rPr>
          <w:u w:val="single"/>
        </w:rPr>
        <w:tab/>
      </w:r>
    </w:p>
  </w:footnote>
  <w:footnote w:type="continuationSeparator" w:id="0">
    <w:p w14:paraId="28CA0037" w14:textId="77777777" w:rsidR="00EE06CD" w:rsidRPr="00FC68B7" w:rsidRDefault="00EE06CD" w:rsidP="00FC68B7">
      <w:pPr>
        <w:tabs>
          <w:tab w:val="left" w:pos="2155"/>
        </w:tabs>
        <w:spacing w:after="80"/>
        <w:ind w:left="680"/>
        <w:rPr>
          <w:u w:val="single"/>
        </w:rPr>
      </w:pPr>
      <w:r>
        <w:rPr>
          <w:u w:val="single"/>
        </w:rPr>
        <w:tab/>
      </w:r>
    </w:p>
  </w:footnote>
  <w:footnote w:type="continuationNotice" w:id="1">
    <w:p w14:paraId="3B8C0874" w14:textId="77777777" w:rsidR="00EE06CD" w:rsidRDefault="00EE06CD"/>
  </w:footnote>
  <w:footnote w:id="2">
    <w:p w14:paraId="5E064BDE" w14:textId="76BFA92D" w:rsidR="00AD3BB7" w:rsidRPr="00AD3BB7" w:rsidRDefault="00AD3BB7">
      <w:pPr>
        <w:pStyle w:val="FootnoteText"/>
      </w:pPr>
      <w:r>
        <w:rPr>
          <w:rStyle w:val="FootnoteReference"/>
        </w:rPr>
        <w:tab/>
      </w:r>
      <w:r w:rsidRPr="00F533F0">
        <w:rPr>
          <w:rStyle w:val="FootnoteReference"/>
          <w:sz w:val="20"/>
          <w:vertAlign w:val="baseline"/>
        </w:rPr>
        <w:t>*</w:t>
      </w:r>
      <w:r>
        <w:rPr>
          <w:rStyle w:val="FootnoteReference"/>
          <w:sz w:val="20"/>
          <w:vertAlign w:val="baseline"/>
        </w:rPr>
        <w:tab/>
      </w:r>
      <w:r>
        <w:t>State not a member of the Human Rights Council.</w:t>
      </w:r>
    </w:p>
  </w:footnote>
  <w:footnote w:id="3">
    <w:p w14:paraId="2C5666D9" w14:textId="5F40E93C" w:rsidR="000E6A58" w:rsidRDefault="000E6A58" w:rsidP="000E6A58">
      <w:pPr>
        <w:pStyle w:val="FootnoteText"/>
      </w:pPr>
      <w:r>
        <w:tab/>
      </w:r>
      <w:r w:rsidRPr="00994110">
        <w:rPr>
          <w:rStyle w:val="FootnoteReference"/>
          <w:sz w:val="20"/>
        </w:rPr>
        <w:footnoteRef/>
      </w:r>
      <w:r>
        <w:tab/>
        <w:t>A/HRC/48/40</w:t>
      </w:r>
      <w:r w:rsidR="00EC1128">
        <w:t>.</w:t>
      </w:r>
    </w:p>
  </w:footnote>
  <w:footnote w:id="4">
    <w:p w14:paraId="702A2453" w14:textId="06722FE6" w:rsidR="006F30D9" w:rsidRPr="00F533F0" w:rsidRDefault="006F30D9">
      <w:pPr>
        <w:pStyle w:val="FootnoteText"/>
        <w:rPr>
          <w:lang w:val="en-US"/>
        </w:rPr>
      </w:pPr>
      <w:r>
        <w:tab/>
      </w:r>
      <w:r>
        <w:rPr>
          <w:rStyle w:val="FootnoteReference"/>
        </w:rPr>
        <w:footnoteRef/>
      </w:r>
      <w:r>
        <w:t xml:space="preserve"> </w:t>
      </w:r>
      <w:r>
        <w:tab/>
        <w:t>A/75/298.</w:t>
      </w:r>
    </w:p>
  </w:footnote>
  <w:footnote w:id="5">
    <w:p w14:paraId="09B44D5B" w14:textId="2AFECDA9" w:rsidR="000E6A58" w:rsidRDefault="000E6A58" w:rsidP="000E6A58">
      <w:pPr>
        <w:pStyle w:val="FootnoteText"/>
      </w:pPr>
      <w:r>
        <w:tab/>
      </w:r>
      <w:r>
        <w:rPr>
          <w:rStyle w:val="FootnoteReference"/>
        </w:rPr>
        <w:footnoteRef/>
      </w:r>
      <w:r>
        <w:tab/>
        <w:t>A/HRC/48/40</w:t>
      </w:r>
      <w:r w:rsidR="00EC1128">
        <w:t>.</w:t>
      </w:r>
    </w:p>
  </w:footnote>
  <w:footnote w:id="6">
    <w:p w14:paraId="65084A36" w14:textId="0C249D78" w:rsidR="000E6A58" w:rsidRDefault="000E6A58" w:rsidP="000E6A58">
      <w:pPr>
        <w:pStyle w:val="FootnoteText"/>
      </w:pPr>
      <w:r>
        <w:tab/>
      </w:r>
      <w:r w:rsidRPr="000E6A58">
        <w:rPr>
          <w:vertAlign w:val="superscript"/>
        </w:rPr>
        <w:footnoteRef/>
      </w:r>
      <w:r>
        <w:tab/>
      </w:r>
      <w:r w:rsidRPr="000E6A58">
        <w:t>A/71/317</w:t>
      </w:r>
      <w:r w:rsidR="00EC112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2902CD3A" w:rsidR="00EE06CD" w:rsidRPr="00EE06CD" w:rsidRDefault="00560CFA">
    <w:pPr>
      <w:pStyle w:val="Header"/>
    </w:pPr>
    <w:r>
      <w:t>A/HRC/4</w:t>
    </w:r>
    <w:r w:rsidR="0062575D">
      <w:t>9</w:t>
    </w:r>
    <w:r>
      <w:t>/L.</w:t>
    </w:r>
    <w:r w:rsidR="000E6A58">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534B55A1" w:rsidR="00EE06CD" w:rsidRPr="00EE06CD" w:rsidRDefault="005369FF" w:rsidP="00EE06CD">
    <w:pPr>
      <w:pStyle w:val="Header"/>
      <w:jc w:val="right"/>
    </w:pPr>
    <w:r>
      <w:t>A/HRC/49/L.8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E83CB4"/>
    <w:multiLevelType w:val="hybridMultilevel"/>
    <w:tmpl w:val="19402BE0"/>
    <w:lvl w:ilvl="0" w:tplc="8AFA348E">
      <w:start w:val="1"/>
      <w:numFmt w:val="decimal"/>
      <w:lvlText w:val="%1."/>
      <w:lvlJc w:val="left"/>
      <w:pPr>
        <w:ind w:left="1266" w:hanging="567"/>
      </w:pPr>
      <w:rPr>
        <w:rFonts w:ascii="Times New Roman" w:eastAsia="Times New Roman" w:hAnsi="Times New Roman" w:cs="Times New Roman" w:hint="default"/>
        <w:spacing w:val="0"/>
        <w:w w:val="99"/>
        <w:sz w:val="20"/>
        <w:szCs w:val="20"/>
        <w:lang w:val="en-US" w:eastAsia="en-US" w:bidi="ar-SA"/>
      </w:rPr>
    </w:lvl>
    <w:lvl w:ilvl="1" w:tplc="863C2A36">
      <w:numFmt w:val="bullet"/>
      <w:lvlText w:val="•"/>
      <w:lvlJc w:val="left"/>
      <w:pPr>
        <w:ind w:left="2122" w:hanging="567"/>
      </w:pPr>
      <w:rPr>
        <w:rFonts w:hint="default"/>
        <w:lang w:val="en-US" w:eastAsia="en-US" w:bidi="ar-SA"/>
      </w:rPr>
    </w:lvl>
    <w:lvl w:ilvl="2" w:tplc="B860D1AE">
      <w:numFmt w:val="bullet"/>
      <w:lvlText w:val="•"/>
      <w:lvlJc w:val="left"/>
      <w:pPr>
        <w:ind w:left="2985" w:hanging="567"/>
      </w:pPr>
      <w:rPr>
        <w:rFonts w:hint="default"/>
        <w:lang w:val="en-US" w:eastAsia="en-US" w:bidi="ar-SA"/>
      </w:rPr>
    </w:lvl>
    <w:lvl w:ilvl="3" w:tplc="781E9114">
      <w:numFmt w:val="bullet"/>
      <w:lvlText w:val="•"/>
      <w:lvlJc w:val="left"/>
      <w:pPr>
        <w:ind w:left="3847" w:hanging="567"/>
      </w:pPr>
      <w:rPr>
        <w:rFonts w:hint="default"/>
        <w:lang w:val="en-US" w:eastAsia="en-US" w:bidi="ar-SA"/>
      </w:rPr>
    </w:lvl>
    <w:lvl w:ilvl="4" w:tplc="44028118">
      <w:numFmt w:val="bullet"/>
      <w:lvlText w:val="•"/>
      <w:lvlJc w:val="left"/>
      <w:pPr>
        <w:ind w:left="4710" w:hanging="567"/>
      </w:pPr>
      <w:rPr>
        <w:rFonts w:hint="default"/>
        <w:lang w:val="en-US" w:eastAsia="en-US" w:bidi="ar-SA"/>
      </w:rPr>
    </w:lvl>
    <w:lvl w:ilvl="5" w:tplc="1B4455F8">
      <w:numFmt w:val="bullet"/>
      <w:lvlText w:val="•"/>
      <w:lvlJc w:val="left"/>
      <w:pPr>
        <w:ind w:left="5573" w:hanging="567"/>
      </w:pPr>
      <w:rPr>
        <w:rFonts w:hint="default"/>
        <w:lang w:val="en-US" w:eastAsia="en-US" w:bidi="ar-SA"/>
      </w:rPr>
    </w:lvl>
    <w:lvl w:ilvl="6" w:tplc="A628BF88">
      <w:numFmt w:val="bullet"/>
      <w:lvlText w:val="•"/>
      <w:lvlJc w:val="left"/>
      <w:pPr>
        <w:ind w:left="6435" w:hanging="567"/>
      </w:pPr>
      <w:rPr>
        <w:rFonts w:hint="default"/>
        <w:lang w:val="en-US" w:eastAsia="en-US" w:bidi="ar-SA"/>
      </w:rPr>
    </w:lvl>
    <w:lvl w:ilvl="7" w:tplc="7D56B512">
      <w:numFmt w:val="bullet"/>
      <w:lvlText w:val="•"/>
      <w:lvlJc w:val="left"/>
      <w:pPr>
        <w:ind w:left="7298" w:hanging="567"/>
      </w:pPr>
      <w:rPr>
        <w:rFonts w:hint="default"/>
        <w:lang w:val="en-US" w:eastAsia="en-US" w:bidi="ar-SA"/>
      </w:rPr>
    </w:lvl>
    <w:lvl w:ilvl="8" w:tplc="0604259E">
      <w:numFmt w:val="bullet"/>
      <w:lvlText w:val="•"/>
      <w:lvlJc w:val="left"/>
      <w:pPr>
        <w:ind w:left="8161" w:hanging="567"/>
      </w:pPr>
      <w:rPr>
        <w:rFonts w:hint="default"/>
        <w:lang w:val="en-US" w:eastAsia="en-US" w:bidi="ar-SA"/>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758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5C05"/>
    <w:rsid w:val="00096BBE"/>
    <w:rsid w:val="000B175B"/>
    <w:rsid w:val="000B2851"/>
    <w:rsid w:val="000B3A0F"/>
    <w:rsid w:val="000B4A3B"/>
    <w:rsid w:val="000C59D8"/>
    <w:rsid w:val="000D1851"/>
    <w:rsid w:val="000E0415"/>
    <w:rsid w:val="000E6A58"/>
    <w:rsid w:val="00122FC6"/>
    <w:rsid w:val="00146D32"/>
    <w:rsid w:val="001509BA"/>
    <w:rsid w:val="001534CF"/>
    <w:rsid w:val="001678D1"/>
    <w:rsid w:val="001B4B04"/>
    <w:rsid w:val="001C6663"/>
    <w:rsid w:val="001C7895"/>
    <w:rsid w:val="001C7ACB"/>
    <w:rsid w:val="001D26DF"/>
    <w:rsid w:val="001E2790"/>
    <w:rsid w:val="001E2974"/>
    <w:rsid w:val="00211E0B"/>
    <w:rsid w:val="00211E72"/>
    <w:rsid w:val="00214047"/>
    <w:rsid w:val="0022130F"/>
    <w:rsid w:val="00237785"/>
    <w:rsid w:val="002410DD"/>
    <w:rsid w:val="00241466"/>
    <w:rsid w:val="00253D58"/>
    <w:rsid w:val="0027725F"/>
    <w:rsid w:val="002929B6"/>
    <w:rsid w:val="002A11A2"/>
    <w:rsid w:val="002A7BAB"/>
    <w:rsid w:val="002C21F0"/>
    <w:rsid w:val="002E3041"/>
    <w:rsid w:val="003107FA"/>
    <w:rsid w:val="003229D8"/>
    <w:rsid w:val="003314D1"/>
    <w:rsid w:val="00335A2F"/>
    <w:rsid w:val="00341937"/>
    <w:rsid w:val="00374A13"/>
    <w:rsid w:val="0039277A"/>
    <w:rsid w:val="003972E0"/>
    <w:rsid w:val="003975ED"/>
    <w:rsid w:val="003A438E"/>
    <w:rsid w:val="003C2CC4"/>
    <w:rsid w:val="003D1D03"/>
    <w:rsid w:val="003D4B23"/>
    <w:rsid w:val="00424C80"/>
    <w:rsid w:val="00430E45"/>
    <w:rsid w:val="004325CB"/>
    <w:rsid w:val="0044503A"/>
    <w:rsid w:val="00446DE4"/>
    <w:rsid w:val="00447761"/>
    <w:rsid w:val="00451EC3"/>
    <w:rsid w:val="004721B1"/>
    <w:rsid w:val="004859EC"/>
    <w:rsid w:val="00496A15"/>
    <w:rsid w:val="004B75D2"/>
    <w:rsid w:val="004C056D"/>
    <w:rsid w:val="004D1140"/>
    <w:rsid w:val="004F2DE6"/>
    <w:rsid w:val="004F4243"/>
    <w:rsid w:val="004F55ED"/>
    <w:rsid w:val="0052176C"/>
    <w:rsid w:val="005261E5"/>
    <w:rsid w:val="005369FF"/>
    <w:rsid w:val="005420F2"/>
    <w:rsid w:val="00542574"/>
    <w:rsid w:val="005436AB"/>
    <w:rsid w:val="00546924"/>
    <w:rsid w:val="00546DBF"/>
    <w:rsid w:val="00553D76"/>
    <w:rsid w:val="005552B5"/>
    <w:rsid w:val="00560CFA"/>
    <w:rsid w:val="0056117B"/>
    <w:rsid w:val="00562621"/>
    <w:rsid w:val="00571365"/>
    <w:rsid w:val="005A0E16"/>
    <w:rsid w:val="005B3DB3"/>
    <w:rsid w:val="005B6E48"/>
    <w:rsid w:val="005D53BE"/>
    <w:rsid w:val="005E1712"/>
    <w:rsid w:val="005F17A7"/>
    <w:rsid w:val="005F4C5D"/>
    <w:rsid w:val="00611FC4"/>
    <w:rsid w:val="006176FB"/>
    <w:rsid w:val="0062575D"/>
    <w:rsid w:val="00625FA2"/>
    <w:rsid w:val="00640B26"/>
    <w:rsid w:val="00654E6C"/>
    <w:rsid w:val="00655B60"/>
    <w:rsid w:val="00670741"/>
    <w:rsid w:val="00696BD6"/>
    <w:rsid w:val="006A6B9D"/>
    <w:rsid w:val="006A7392"/>
    <w:rsid w:val="006B3189"/>
    <w:rsid w:val="006B7D65"/>
    <w:rsid w:val="006C70D6"/>
    <w:rsid w:val="006D6DA6"/>
    <w:rsid w:val="006E564B"/>
    <w:rsid w:val="006F13F0"/>
    <w:rsid w:val="006F30D9"/>
    <w:rsid w:val="006F5035"/>
    <w:rsid w:val="0070446A"/>
    <w:rsid w:val="007065EB"/>
    <w:rsid w:val="00717361"/>
    <w:rsid w:val="00720183"/>
    <w:rsid w:val="0072632A"/>
    <w:rsid w:val="007333F5"/>
    <w:rsid w:val="00741876"/>
    <w:rsid w:val="0074200B"/>
    <w:rsid w:val="00767355"/>
    <w:rsid w:val="007A6296"/>
    <w:rsid w:val="007A79E4"/>
    <w:rsid w:val="007B6BA5"/>
    <w:rsid w:val="007C1B62"/>
    <w:rsid w:val="007C3390"/>
    <w:rsid w:val="007C4F4B"/>
    <w:rsid w:val="007D2CDC"/>
    <w:rsid w:val="007D5327"/>
    <w:rsid w:val="007E75EC"/>
    <w:rsid w:val="007F6611"/>
    <w:rsid w:val="008155C3"/>
    <w:rsid w:val="008175E9"/>
    <w:rsid w:val="0082081A"/>
    <w:rsid w:val="0082243E"/>
    <w:rsid w:val="008242D7"/>
    <w:rsid w:val="0083319C"/>
    <w:rsid w:val="00856CD2"/>
    <w:rsid w:val="00861BC6"/>
    <w:rsid w:val="00871FD5"/>
    <w:rsid w:val="00882147"/>
    <w:rsid w:val="008847BB"/>
    <w:rsid w:val="008979B1"/>
    <w:rsid w:val="008A6B25"/>
    <w:rsid w:val="008A6C4F"/>
    <w:rsid w:val="008B4455"/>
    <w:rsid w:val="008C1E4D"/>
    <w:rsid w:val="008E0E46"/>
    <w:rsid w:val="0090452C"/>
    <w:rsid w:val="00907C3F"/>
    <w:rsid w:val="009168AE"/>
    <w:rsid w:val="0092237C"/>
    <w:rsid w:val="0093707B"/>
    <w:rsid w:val="009400EB"/>
    <w:rsid w:val="009427E3"/>
    <w:rsid w:val="00946575"/>
    <w:rsid w:val="00956D9B"/>
    <w:rsid w:val="00963CBA"/>
    <w:rsid w:val="009654B7"/>
    <w:rsid w:val="00991261"/>
    <w:rsid w:val="009A0B83"/>
    <w:rsid w:val="009B131C"/>
    <w:rsid w:val="009B3800"/>
    <w:rsid w:val="009D22AC"/>
    <w:rsid w:val="009D3E50"/>
    <w:rsid w:val="009D50DB"/>
    <w:rsid w:val="009E1C4E"/>
    <w:rsid w:val="009E22BC"/>
    <w:rsid w:val="00A0036A"/>
    <w:rsid w:val="00A05E0B"/>
    <w:rsid w:val="00A1427D"/>
    <w:rsid w:val="00A4634F"/>
    <w:rsid w:val="00A51CF3"/>
    <w:rsid w:val="00A64D50"/>
    <w:rsid w:val="00A72F22"/>
    <w:rsid w:val="00A73D32"/>
    <w:rsid w:val="00A748A6"/>
    <w:rsid w:val="00A879A4"/>
    <w:rsid w:val="00A87E95"/>
    <w:rsid w:val="00A92E29"/>
    <w:rsid w:val="00A93128"/>
    <w:rsid w:val="00AC5AE2"/>
    <w:rsid w:val="00AD09E9"/>
    <w:rsid w:val="00AD3BB7"/>
    <w:rsid w:val="00AF0576"/>
    <w:rsid w:val="00AF3829"/>
    <w:rsid w:val="00B037F0"/>
    <w:rsid w:val="00B225EB"/>
    <w:rsid w:val="00B2327D"/>
    <w:rsid w:val="00B2718F"/>
    <w:rsid w:val="00B30179"/>
    <w:rsid w:val="00B3255F"/>
    <w:rsid w:val="00B3317B"/>
    <w:rsid w:val="00B334DC"/>
    <w:rsid w:val="00B3631A"/>
    <w:rsid w:val="00B53013"/>
    <w:rsid w:val="00B67F5E"/>
    <w:rsid w:val="00B73E65"/>
    <w:rsid w:val="00B816EF"/>
    <w:rsid w:val="00B81E12"/>
    <w:rsid w:val="00B87110"/>
    <w:rsid w:val="00B97FA8"/>
    <w:rsid w:val="00BC03B3"/>
    <w:rsid w:val="00BC1385"/>
    <w:rsid w:val="00BC74E9"/>
    <w:rsid w:val="00BE618E"/>
    <w:rsid w:val="00BE655C"/>
    <w:rsid w:val="00BF5285"/>
    <w:rsid w:val="00C06876"/>
    <w:rsid w:val="00C06DF0"/>
    <w:rsid w:val="00C217E7"/>
    <w:rsid w:val="00C24693"/>
    <w:rsid w:val="00C278C5"/>
    <w:rsid w:val="00C3225F"/>
    <w:rsid w:val="00C35F0B"/>
    <w:rsid w:val="00C40D23"/>
    <w:rsid w:val="00C463DD"/>
    <w:rsid w:val="00C64458"/>
    <w:rsid w:val="00C745C3"/>
    <w:rsid w:val="00CA2A58"/>
    <w:rsid w:val="00CC0B55"/>
    <w:rsid w:val="00CD6995"/>
    <w:rsid w:val="00CE4A8F"/>
    <w:rsid w:val="00CF0214"/>
    <w:rsid w:val="00CF1FDA"/>
    <w:rsid w:val="00CF586F"/>
    <w:rsid w:val="00CF7D43"/>
    <w:rsid w:val="00D11129"/>
    <w:rsid w:val="00D2031B"/>
    <w:rsid w:val="00D22332"/>
    <w:rsid w:val="00D25FE2"/>
    <w:rsid w:val="00D43252"/>
    <w:rsid w:val="00D550F9"/>
    <w:rsid w:val="00D572B0"/>
    <w:rsid w:val="00D62E90"/>
    <w:rsid w:val="00D76BE5"/>
    <w:rsid w:val="00D92989"/>
    <w:rsid w:val="00D978C6"/>
    <w:rsid w:val="00DA67AD"/>
    <w:rsid w:val="00DB18CE"/>
    <w:rsid w:val="00DB5566"/>
    <w:rsid w:val="00DE3EC0"/>
    <w:rsid w:val="00E11593"/>
    <w:rsid w:val="00E12B6B"/>
    <w:rsid w:val="00E130AB"/>
    <w:rsid w:val="00E27D78"/>
    <w:rsid w:val="00E438D9"/>
    <w:rsid w:val="00E5644E"/>
    <w:rsid w:val="00E6568C"/>
    <w:rsid w:val="00E7260F"/>
    <w:rsid w:val="00E80026"/>
    <w:rsid w:val="00E806EE"/>
    <w:rsid w:val="00E82728"/>
    <w:rsid w:val="00E96630"/>
    <w:rsid w:val="00EB0FB9"/>
    <w:rsid w:val="00EB203D"/>
    <w:rsid w:val="00EC1128"/>
    <w:rsid w:val="00ED0CA9"/>
    <w:rsid w:val="00ED7A2A"/>
    <w:rsid w:val="00EE06CD"/>
    <w:rsid w:val="00EF1D7F"/>
    <w:rsid w:val="00EF5BDB"/>
    <w:rsid w:val="00F07FD9"/>
    <w:rsid w:val="00F125A8"/>
    <w:rsid w:val="00F20C6F"/>
    <w:rsid w:val="00F23933"/>
    <w:rsid w:val="00F24119"/>
    <w:rsid w:val="00F30C6C"/>
    <w:rsid w:val="00F40E75"/>
    <w:rsid w:val="00F42CD9"/>
    <w:rsid w:val="00F52936"/>
    <w:rsid w:val="00F533F0"/>
    <w:rsid w:val="00F54083"/>
    <w:rsid w:val="00F677CB"/>
    <w:rsid w:val="00F67B04"/>
    <w:rsid w:val="00F75F64"/>
    <w:rsid w:val="00FA7335"/>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BodyText">
    <w:name w:val="Body Text"/>
    <w:basedOn w:val="Normal"/>
    <w:link w:val="BodyTextChar"/>
    <w:uiPriority w:val="1"/>
    <w:qFormat/>
    <w:rsid w:val="000E6A58"/>
    <w:pPr>
      <w:widowControl w:val="0"/>
      <w:suppressAutoHyphens w:val="0"/>
      <w:autoSpaceDE w:val="0"/>
      <w:autoSpaceDN w:val="0"/>
      <w:spacing w:line="240" w:lineRule="auto"/>
    </w:pPr>
    <w:rPr>
      <w:lang w:val="en-US"/>
    </w:rPr>
  </w:style>
  <w:style w:type="character" w:customStyle="1" w:styleId="BodyTextChar">
    <w:name w:val="Body Text Char"/>
    <w:basedOn w:val="DefaultParagraphFont"/>
    <w:link w:val="BodyText"/>
    <w:uiPriority w:val="1"/>
    <w:rsid w:val="000E6A58"/>
    <w:rPr>
      <w:lang w:val="en-US" w:eastAsia="en-US"/>
    </w:rPr>
  </w:style>
  <w:style w:type="paragraph" w:styleId="ListParagraph">
    <w:name w:val="List Paragraph"/>
    <w:basedOn w:val="Normal"/>
    <w:uiPriority w:val="1"/>
    <w:qFormat/>
    <w:rsid w:val="000E6A58"/>
    <w:pPr>
      <w:widowControl w:val="0"/>
      <w:suppressAutoHyphens w:val="0"/>
      <w:autoSpaceDE w:val="0"/>
      <w:autoSpaceDN w:val="0"/>
      <w:spacing w:before="124" w:line="240" w:lineRule="auto"/>
      <w:ind w:left="1266" w:right="1247" w:firstLine="568"/>
      <w:jc w:val="both"/>
    </w:pPr>
    <w:rPr>
      <w:sz w:val="22"/>
      <w:szCs w:val="22"/>
      <w:lang w:val="en-US"/>
    </w:rPr>
  </w:style>
  <w:style w:type="character" w:customStyle="1" w:styleId="FootnoteTextChar">
    <w:name w:val="Footnote Text Char"/>
    <w:aliases w:val="5_G Char"/>
    <w:basedOn w:val="DefaultParagraphFont"/>
    <w:link w:val="FootnoteText"/>
    <w:uiPriority w:val="99"/>
    <w:rsid w:val="000E6A58"/>
    <w:rPr>
      <w:sz w:val="18"/>
      <w:lang w:eastAsia="en-US"/>
    </w:rPr>
  </w:style>
  <w:style w:type="paragraph" w:styleId="Revision">
    <w:name w:val="Revision"/>
    <w:hidden/>
    <w:uiPriority w:val="99"/>
    <w:semiHidden/>
    <w:rsid w:val="006F30D9"/>
    <w:rPr>
      <w:lang w:eastAsia="en-US"/>
    </w:rPr>
  </w:style>
  <w:style w:type="character" w:styleId="CommentReference">
    <w:name w:val="annotation reference"/>
    <w:basedOn w:val="DefaultParagraphFont"/>
    <w:semiHidden/>
    <w:unhideWhenUsed/>
    <w:rsid w:val="00654E6C"/>
    <w:rPr>
      <w:sz w:val="16"/>
      <w:szCs w:val="16"/>
    </w:rPr>
  </w:style>
  <w:style w:type="paragraph" w:styleId="CommentText">
    <w:name w:val="annotation text"/>
    <w:basedOn w:val="Normal"/>
    <w:link w:val="CommentTextChar"/>
    <w:semiHidden/>
    <w:unhideWhenUsed/>
    <w:rsid w:val="00654E6C"/>
    <w:pPr>
      <w:spacing w:line="240" w:lineRule="auto"/>
    </w:pPr>
  </w:style>
  <w:style w:type="character" w:customStyle="1" w:styleId="CommentTextChar">
    <w:name w:val="Comment Text Char"/>
    <w:basedOn w:val="DefaultParagraphFont"/>
    <w:link w:val="CommentText"/>
    <w:semiHidden/>
    <w:rsid w:val="00654E6C"/>
    <w:rPr>
      <w:lang w:eastAsia="en-US"/>
    </w:rPr>
  </w:style>
  <w:style w:type="paragraph" w:styleId="CommentSubject">
    <w:name w:val="annotation subject"/>
    <w:basedOn w:val="CommentText"/>
    <w:next w:val="CommentText"/>
    <w:link w:val="CommentSubjectChar"/>
    <w:semiHidden/>
    <w:unhideWhenUsed/>
    <w:rsid w:val="00654E6C"/>
    <w:rPr>
      <w:b/>
      <w:bCs/>
    </w:rPr>
  </w:style>
  <w:style w:type="character" w:customStyle="1" w:styleId="CommentSubjectChar">
    <w:name w:val="Comment Subject Char"/>
    <w:basedOn w:val="CommentTextChar"/>
    <w:link w:val="CommentSubject"/>
    <w:semiHidden/>
    <w:rsid w:val="00654E6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https://ap.ohchr.org/documents/dpage_e.aspx?si=A/HRC/49/L.8</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8302566B-4F4B-4EC6-857D-A66FBEF0BD13}"/>
</file>

<file path=customXml/itemProps2.xml><?xml version="1.0" encoding="utf-8"?>
<ds:datastoreItem xmlns:ds="http://schemas.openxmlformats.org/officeDocument/2006/customXml" ds:itemID="{28578FC0-A0B2-47A5-95D1-585330ED9EC9}"/>
</file>

<file path=customXml/itemProps3.xml><?xml version="1.0" encoding="utf-8"?>
<ds:datastoreItem xmlns:ds="http://schemas.openxmlformats.org/officeDocument/2006/customXml" ds:itemID="{0B40BE4E-40AE-4B62-B156-4587BBA40765}"/>
</file>

<file path=docProps/app.xml><?xml version="1.0" encoding="utf-8"?>
<Properties xmlns="http://schemas.openxmlformats.org/officeDocument/2006/extended-properties" xmlns:vt="http://schemas.openxmlformats.org/officeDocument/2006/docPropsVTypes">
  <Template>A_E.dotm</Template>
  <TotalTime>0</TotalTime>
  <Pages>5</Pages>
  <Words>2210</Words>
  <Characters>13094</Characters>
  <Application>Microsoft Office Word</Application>
  <DocSecurity>0</DocSecurity>
  <Lines>206</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A/HRC/49/L.8</dc:title>
  <dc:subject>2204310</dc:subject>
  <dc:creator>Sumiko IHARA</dc:creator>
  <cp:keywords/>
  <dc:description/>
  <cp:lastModifiedBy>Pauline Anne Escalante</cp:lastModifiedBy>
  <cp:revision>2</cp:revision>
  <cp:lastPrinted>2022-03-25T12:06:00Z</cp:lastPrinted>
  <dcterms:created xsi:type="dcterms:W3CDTF">2022-03-25T12:07:00Z</dcterms:created>
  <dcterms:modified xsi:type="dcterms:W3CDTF">2022-03-25T12:07:00Z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